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C0C51" w14:textId="77777777" w:rsidR="009F6858" w:rsidRPr="00C04233" w:rsidRDefault="009F6858" w:rsidP="009F6858">
      <w:pPr>
        <w:jc w:val="right"/>
        <w:rPr>
          <w:rFonts w:ascii="Times New Roman" w:hAnsi="Times New Roman"/>
          <w:b/>
          <w:sz w:val="24"/>
          <w:szCs w:val="24"/>
          <w:lang w:val="en-GB"/>
        </w:rPr>
      </w:pPr>
      <w:r w:rsidRPr="00C04233">
        <w:rPr>
          <w:rFonts w:ascii="Times New Roman" w:hAnsi="Times New Roman"/>
          <w:b/>
          <w:sz w:val="24"/>
          <w:szCs w:val="24"/>
          <w:lang w:val="en-GB"/>
        </w:rPr>
        <w:t>EU</w:t>
      </w:r>
    </w:p>
    <w:p w14:paraId="1D213527" w14:textId="77777777" w:rsidR="009F6858" w:rsidRPr="00CC4CEB" w:rsidRDefault="009F6858" w:rsidP="009F6858">
      <w:pPr>
        <w:jc w:val="center"/>
        <w:rPr>
          <w:rFonts w:ascii="Times New Roman" w:hAnsi="Times New Roman"/>
          <w:b/>
          <w:sz w:val="24"/>
          <w:szCs w:val="24"/>
          <w:lang w:val="en-GB"/>
        </w:rPr>
      </w:pPr>
      <w:r w:rsidRPr="00CC4CEB">
        <w:rPr>
          <w:rFonts w:ascii="Times New Roman" w:hAnsi="Times New Roman"/>
          <w:b/>
          <w:sz w:val="24"/>
          <w:szCs w:val="24"/>
          <w:lang w:val="en-GB"/>
        </w:rPr>
        <w:t>NATIONAL BANK OF MOLDOVA</w:t>
      </w:r>
    </w:p>
    <w:p w14:paraId="1E00D5B6" w14:textId="77777777" w:rsidR="009F6858" w:rsidRPr="00CC4CEB" w:rsidRDefault="009F6858" w:rsidP="009F6858">
      <w:pPr>
        <w:jc w:val="center"/>
        <w:rPr>
          <w:rFonts w:ascii="Times New Roman" w:hAnsi="Times New Roman"/>
          <w:b/>
          <w:sz w:val="24"/>
          <w:szCs w:val="24"/>
          <w:lang w:val="en-GB"/>
        </w:rPr>
      </w:pPr>
      <w:r w:rsidRPr="00CC4CEB">
        <w:rPr>
          <w:rFonts w:ascii="Times New Roman" w:hAnsi="Times New Roman"/>
          <w:b/>
          <w:sz w:val="24"/>
          <w:szCs w:val="24"/>
          <w:lang w:val="en-GB"/>
        </w:rPr>
        <w:t>EXECUTIVE BOARD</w:t>
      </w:r>
    </w:p>
    <w:p w14:paraId="211377F8" w14:textId="77777777" w:rsidR="009F6858" w:rsidRPr="00CC4CEB" w:rsidRDefault="009F6858" w:rsidP="009F6858">
      <w:pPr>
        <w:jc w:val="center"/>
        <w:rPr>
          <w:rFonts w:ascii="Times New Roman" w:hAnsi="Times New Roman"/>
          <w:b/>
          <w:sz w:val="24"/>
          <w:szCs w:val="24"/>
          <w:lang w:val="en-GB"/>
        </w:rPr>
      </w:pPr>
      <w:r w:rsidRPr="00CC4CEB">
        <w:rPr>
          <w:rFonts w:ascii="Times New Roman" w:hAnsi="Times New Roman"/>
          <w:b/>
          <w:sz w:val="24"/>
          <w:szCs w:val="24"/>
          <w:lang w:val="en-GB"/>
        </w:rPr>
        <w:t>DECISION No. 158</w:t>
      </w:r>
    </w:p>
    <w:p w14:paraId="02EE1833" w14:textId="77777777" w:rsidR="009F6858" w:rsidRPr="00CC4CEB" w:rsidRDefault="009F6858" w:rsidP="009F6858">
      <w:pPr>
        <w:jc w:val="center"/>
        <w:rPr>
          <w:rFonts w:ascii="Times New Roman" w:hAnsi="Times New Roman"/>
          <w:b/>
          <w:sz w:val="24"/>
          <w:szCs w:val="24"/>
          <w:lang w:val="en-GB"/>
        </w:rPr>
      </w:pPr>
      <w:r w:rsidRPr="00CC4CEB">
        <w:rPr>
          <w:rFonts w:ascii="Times New Roman" w:hAnsi="Times New Roman"/>
          <w:b/>
          <w:sz w:val="24"/>
          <w:szCs w:val="24"/>
          <w:lang w:val="en-GB"/>
        </w:rPr>
        <w:t>As of 9 July 2020</w:t>
      </w:r>
    </w:p>
    <w:p w14:paraId="03230B5D" w14:textId="77777777" w:rsidR="009F6858" w:rsidRPr="00CC4CEB" w:rsidRDefault="009F6858" w:rsidP="009F6858">
      <w:pPr>
        <w:spacing w:after="0" w:line="240" w:lineRule="auto"/>
        <w:rPr>
          <w:rFonts w:ascii="Times New Roman" w:hAnsi="Times New Roman"/>
          <w:sz w:val="24"/>
          <w:szCs w:val="24"/>
          <w:lang w:val="en-GB"/>
        </w:rPr>
      </w:pPr>
      <w:r w:rsidRPr="00CC4CEB">
        <w:rPr>
          <w:rFonts w:ascii="Times New Roman" w:hAnsi="Times New Roman"/>
          <w:sz w:val="24"/>
          <w:szCs w:val="24"/>
          <w:lang w:val="en-GB"/>
        </w:rPr>
        <w:t xml:space="preserve">                                                                             </w:t>
      </w:r>
      <w:r w:rsidR="00CA736E" w:rsidRPr="00CC4CEB">
        <w:rPr>
          <w:rFonts w:ascii="Times New Roman" w:hAnsi="Times New Roman"/>
          <w:sz w:val="24"/>
          <w:szCs w:val="24"/>
          <w:lang w:val="en-GB"/>
        </w:rPr>
        <w:t xml:space="preserve">             </w:t>
      </w:r>
      <w:r w:rsidRPr="00CC4CEB">
        <w:rPr>
          <w:rFonts w:ascii="Times New Roman" w:hAnsi="Times New Roman"/>
          <w:sz w:val="24"/>
          <w:szCs w:val="24"/>
          <w:lang w:val="en-GB"/>
        </w:rPr>
        <w:t>REGISTERED:</w:t>
      </w:r>
    </w:p>
    <w:p w14:paraId="7277900E" w14:textId="77777777" w:rsidR="009F6858" w:rsidRPr="00CC4CEB" w:rsidRDefault="009F6858" w:rsidP="009F6858">
      <w:pPr>
        <w:spacing w:after="0" w:line="240" w:lineRule="auto"/>
        <w:rPr>
          <w:rFonts w:ascii="Times New Roman" w:hAnsi="Times New Roman"/>
          <w:sz w:val="24"/>
          <w:szCs w:val="24"/>
          <w:lang w:val="en-GB"/>
        </w:rPr>
      </w:pPr>
      <w:r w:rsidRPr="00CC4CEB">
        <w:rPr>
          <w:rFonts w:ascii="Times New Roman" w:hAnsi="Times New Roman"/>
          <w:sz w:val="24"/>
          <w:szCs w:val="24"/>
          <w:lang w:val="en-GB"/>
        </w:rPr>
        <w:t xml:space="preserve">                                                                                   </w:t>
      </w:r>
      <w:r w:rsidR="00CA736E" w:rsidRPr="00CC4CEB">
        <w:rPr>
          <w:rFonts w:ascii="Times New Roman" w:hAnsi="Times New Roman"/>
          <w:sz w:val="24"/>
          <w:szCs w:val="24"/>
          <w:lang w:val="en-GB"/>
        </w:rPr>
        <w:t xml:space="preserve">   </w:t>
      </w:r>
      <w:r w:rsidRPr="00CC4CEB">
        <w:rPr>
          <w:rFonts w:ascii="Times New Roman" w:hAnsi="Times New Roman"/>
          <w:sz w:val="24"/>
          <w:szCs w:val="24"/>
          <w:lang w:val="en-GB"/>
        </w:rPr>
        <w:t>at the Ministry of Justice</w:t>
      </w:r>
    </w:p>
    <w:p w14:paraId="6FDE4C6F" w14:textId="77777777" w:rsidR="009F6858" w:rsidRPr="00CC4CEB" w:rsidRDefault="009F6858" w:rsidP="009F6858">
      <w:pPr>
        <w:spacing w:after="0" w:line="240" w:lineRule="auto"/>
        <w:rPr>
          <w:rFonts w:ascii="Times New Roman" w:hAnsi="Times New Roman"/>
          <w:sz w:val="24"/>
          <w:szCs w:val="24"/>
          <w:lang w:val="en-GB"/>
        </w:rPr>
      </w:pPr>
      <w:r w:rsidRPr="00CC4CEB">
        <w:rPr>
          <w:rFonts w:ascii="Times New Roman" w:hAnsi="Times New Roman"/>
          <w:sz w:val="24"/>
          <w:szCs w:val="24"/>
          <w:lang w:val="en-GB"/>
        </w:rPr>
        <w:t xml:space="preserve">                                                                                     of the Republic of Moldova</w:t>
      </w:r>
    </w:p>
    <w:p w14:paraId="3E27317D" w14:textId="77777777" w:rsidR="009F6858" w:rsidRPr="00CC4CEB" w:rsidRDefault="009F6858" w:rsidP="009F6858">
      <w:pPr>
        <w:spacing w:after="0" w:line="240" w:lineRule="auto"/>
        <w:rPr>
          <w:rFonts w:ascii="Times New Roman" w:hAnsi="Times New Roman"/>
          <w:sz w:val="24"/>
          <w:szCs w:val="24"/>
          <w:lang w:val="en-GB"/>
        </w:rPr>
      </w:pPr>
      <w:r w:rsidRPr="00CC4CEB">
        <w:rPr>
          <w:rFonts w:ascii="Times New Roman" w:hAnsi="Times New Roman"/>
          <w:sz w:val="24"/>
          <w:szCs w:val="24"/>
          <w:lang w:val="en-GB"/>
        </w:rPr>
        <w:t xml:space="preserve">                                                                             </w:t>
      </w:r>
      <w:r w:rsidR="00CA736E" w:rsidRPr="00CC4CEB">
        <w:rPr>
          <w:rFonts w:ascii="Times New Roman" w:hAnsi="Times New Roman"/>
          <w:sz w:val="24"/>
          <w:szCs w:val="24"/>
          <w:lang w:val="en-GB"/>
        </w:rPr>
        <w:t xml:space="preserve">  </w:t>
      </w:r>
      <w:r w:rsidRPr="00CC4CEB">
        <w:rPr>
          <w:rFonts w:ascii="Times New Roman" w:hAnsi="Times New Roman"/>
          <w:sz w:val="24"/>
          <w:szCs w:val="24"/>
          <w:lang w:val="en-GB"/>
        </w:rPr>
        <w:t xml:space="preserve">      No.1581 as of 18 July 2020</w:t>
      </w:r>
    </w:p>
    <w:p w14:paraId="00A2694C" w14:textId="77777777" w:rsidR="009F6858" w:rsidRPr="00CC4CEB" w:rsidRDefault="009F6858" w:rsidP="009F6858">
      <w:pPr>
        <w:spacing w:after="0" w:line="240" w:lineRule="auto"/>
        <w:rPr>
          <w:rFonts w:ascii="Times New Roman" w:hAnsi="Times New Roman"/>
          <w:sz w:val="24"/>
          <w:szCs w:val="24"/>
          <w:lang w:val="en-GB"/>
        </w:rPr>
      </w:pPr>
      <w:r w:rsidRPr="00CC4CEB">
        <w:rPr>
          <w:rFonts w:ascii="Times New Roman" w:hAnsi="Times New Roman"/>
          <w:sz w:val="24"/>
          <w:szCs w:val="24"/>
          <w:lang w:val="en-GB"/>
        </w:rPr>
        <w:t xml:space="preserve">                                                        </w:t>
      </w:r>
      <w:r w:rsidR="00CA736E" w:rsidRPr="00CC4CEB">
        <w:rPr>
          <w:rFonts w:ascii="Times New Roman" w:hAnsi="Times New Roman"/>
          <w:sz w:val="24"/>
          <w:szCs w:val="24"/>
          <w:lang w:val="en-GB"/>
        </w:rPr>
        <w:t xml:space="preserve">                             </w:t>
      </w:r>
      <w:r w:rsidRPr="00CC4CEB">
        <w:rPr>
          <w:rFonts w:ascii="Times New Roman" w:hAnsi="Times New Roman"/>
          <w:sz w:val="24"/>
          <w:szCs w:val="24"/>
          <w:lang w:val="en-GB"/>
        </w:rPr>
        <w:t>Minister ___________ Fadei NAGACEVSCHI</w:t>
      </w:r>
    </w:p>
    <w:p w14:paraId="71AE36C3" w14:textId="77777777" w:rsidR="009F6858" w:rsidRPr="00CC4CEB" w:rsidRDefault="009F6858" w:rsidP="009F6858">
      <w:pPr>
        <w:spacing w:line="240" w:lineRule="auto"/>
        <w:jc w:val="right"/>
        <w:rPr>
          <w:rFonts w:ascii="Times New Roman" w:hAnsi="Times New Roman"/>
          <w:sz w:val="24"/>
          <w:szCs w:val="24"/>
          <w:lang w:val="en-GB"/>
        </w:rPr>
      </w:pPr>
    </w:p>
    <w:p w14:paraId="4377D2D9" w14:textId="77777777" w:rsidR="009F6858" w:rsidRPr="00CC4CEB" w:rsidRDefault="009F6858" w:rsidP="009F6858">
      <w:pPr>
        <w:spacing w:line="240" w:lineRule="auto"/>
        <w:jc w:val="center"/>
        <w:rPr>
          <w:rFonts w:ascii="Times New Roman" w:hAnsi="Times New Roman"/>
          <w:b/>
          <w:sz w:val="24"/>
          <w:szCs w:val="24"/>
          <w:lang w:val="en-GB"/>
        </w:rPr>
      </w:pPr>
      <w:r w:rsidRPr="00CC4CEB">
        <w:rPr>
          <w:rFonts w:ascii="Times New Roman" w:hAnsi="Times New Roman"/>
          <w:b/>
          <w:sz w:val="24"/>
          <w:szCs w:val="24"/>
          <w:lang w:val="en-GB"/>
        </w:rPr>
        <w:t>On the approval of the Regulation on the requirements for publication of information by banks</w:t>
      </w:r>
    </w:p>
    <w:p w14:paraId="66E0A586" w14:textId="77777777" w:rsidR="009F6858" w:rsidRPr="00CC4CEB" w:rsidRDefault="009F6858" w:rsidP="009F6858">
      <w:pPr>
        <w:spacing w:line="240" w:lineRule="auto"/>
        <w:jc w:val="both"/>
        <w:rPr>
          <w:rFonts w:ascii="Times New Roman" w:hAnsi="Times New Roman"/>
          <w:sz w:val="24"/>
          <w:szCs w:val="24"/>
          <w:lang w:val="en-GB"/>
        </w:rPr>
      </w:pPr>
      <w:r w:rsidRPr="00CC4CEB">
        <w:rPr>
          <w:rFonts w:ascii="Times New Roman" w:hAnsi="Times New Roman"/>
          <w:sz w:val="24"/>
          <w:szCs w:val="24"/>
          <w:lang w:val="en-GB"/>
        </w:rPr>
        <w:t xml:space="preserve">Based on art. 27 paragraph (1) letter c) of the Law no. 548/1995 on the National Bank of Moldova (republished in the Official Monitor of the Republic of Moldova, 2015, no. 297-300, art. 544 with subsequent amendments, as well as art. 31 paragraphs (2) and (3), art. 91 paragraphs (1), (3), (4) and (6), art. 92 and 93 of the Law no. 202/2017 on banks’ activity (Official Monitor of the Republic of Moldova, 2017, no. 434-439, art. 727) with subsequent amendments the Executive Board of the National Bank of Moldova </w:t>
      </w:r>
    </w:p>
    <w:p w14:paraId="533AE596" w14:textId="77777777" w:rsidR="009F6858" w:rsidRPr="00CC4CEB" w:rsidRDefault="009F6858" w:rsidP="009F6858">
      <w:pPr>
        <w:spacing w:line="240" w:lineRule="auto"/>
        <w:jc w:val="center"/>
        <w:rPr>
          <w:rFonts w:ascii="Times New Roman" w:hAnsi="Times New Roman"/>
          <w:b/>
          <w:sz w:val="24"/>
          <w:szCs w:val="24"/>
          <w:lang w:val="en-GB"/>
        </w:rPr>
      </w:pPr>
      <w:r w:rsidRPr="00CC4CEB">
        <w:rPr>
          <w:rFonts w:ascii="Times New Roman" w:hAnsi="Times New Roman"/>
          <w:b/>
          <w:sz w:val="24"/>
          <w:szCs w:val="24"/>
          <w:lang w:val="en-GB"/>
        </w:rPr>
        <w:t>DECEIDES:</w:t>
      </w:r>
    </w:p>
    <w:p w14:paraId="15869884" w14:textId="77777777" w:rsidR="009F6858" w:rsidRPr="00CC4CEB" w:rsidRDefault="009F6858" w:rsidP="00CC4CEB">
      <w:pPr>
        <w:numPr>
          <w:ilvl w:val="0"/>
          <w:numId w:val="61"/>
        </w:numPr>
        <w:tabs>
          <w:tab w:val="left" w:pos="567"/>
        </w:tabs>
        <w:spacing w:line="240" w:lineRule="auto"/>
        <w:ind w:left="0" w:firstLine="0"/>
        <w:contextualSpacing/>
        <w:jc w:val="both"/>
        <w:rPr>
          <w:rFonts w:ascii="Times New Roman" w:hAnsi="Times New Roman"/>
          <w:sz w:val="24"/>
          <w:szCs w:val="24"/>
          <w:lang w:val="en-GB"/>
        </w:rPr>
      </w:pPr>
      <w:r w:rsidRPr="00CC4CEB">
        <w:rPr>
          <w:rFonts w:ascii="Times New Roman" w:hAnsi="Times New Roman"/>
          <w:sz w:val="24"/>
          <w:szCs w:val="24"/>
          <w:lang w:val="en-GB"/>
        </w:rPr>
        <w:t>To approve the Regulation on the requirements for publication of information by banks (enclosed).</w:t>
      </w:r>
    </w:p>
    <w:p w14:paraId="6795BE71" w14:textId="77777777" w:rsidR="009F6858" w:rsidRPr="00CC4CEB" w:rsidRDefault="009F6858" w:rsidP="00CC4CEB">
      <w:pPr>
        <w:numPr>
          <w:ilvl w:val="0"/>
          <w:numId w:val="61"/>
        </w:numPr>
        <w:tabs>
          <w:tab w:val="left" w:pos="567"/>
        </w:tabs>
        <w:spacing w:line="240" w:lineRule="auto"/>
        <w:ind w:left="0" w:firstLine="0"/>
        <w:contextualSpacing/>
        <w:jc w:val="both"/>
        <w:rPr>
          <w:rFonts w:ascii="Times New Roman" w:hAnsi="Times New Roman"/>
          <w:sz w:val="24"/>
          <w:szCs w:val="24"/>
          <w:lang w:val="en-GB"/>
        </w:rPr>
      </w:pPr>
      <w:r w:rsidRPr="00CC4CEB">
        <w:rPr>
          <w:rFonts w:ascii="Times New Roman" w:hAnsi="Times New Roman"/>
          <w:sz w:val="24"/>
          <w:szCs w:val="24"/>
          <w:lang w:val="en-GB"/>
        </w:rPr>
        <w:t>To repeal the Regulation on disclosure of information on the financial activity of the licensed banks from the Republic of Moldova, approved by the Decision of the Council of Administration of the National Bank of Moldova, No. 52 of 20 March 2014 (the Official Monitor of the Republic of Moldova, 2014, no. 110-114, art. 596) with subsequent amendments, registered with the Ministry of Justice as of the 24</w:t>
      </w:r>
      <w:r w:rsidRPr="00CC4CEB">
        <w:rPr>
          <w:rFonts w:ascii="Times New Roman" w:hAnsi="Times New Roman"/>
          <w:sz w:val="24"/>
          <w:szCs w:val="24"/>
          <w:vertAlign w:val="superscript"/>
          <w:lang w:val="en-GB"/>
        </w:rPr>
        <w:t>t</w:t>
      </w:r>
      <w:r w:rsidRPr="00CC4CEB">
        <w:rPr>
          <w:rFonts w:ascii="Times New Roman" w:hAnsi="Times New Roman"/>
          <w:sz w:val="24"/>
          <w:szCs w:val="24"/>
          <w:lang w:val="en-GB"/>
        </w:rPr>
        <w:t>April 2014 at no. 975.</w:t>
      </w:r>
    </w:p>
    <w:p w14:paraId="76B7E19E" w14:textId="77777777" w:rsidR="009F6858" w:rsidRPr="00CC4CEB" w:rsidRDefault="009F6858" w:rsidP="00CC4CEB">
      <w:pPr>
        <w:numPr>
          <w:ilvl w:val="0"/>
          <w:numId w:val="61"/>
        </w:numPr>
        <w:tabs>
          <w:tab w:val="left" w:pos="567"/>
        </w:tabs>
        <w:spacing w:line="240" w:lineRule="auto"/>
        <w:ind w:left="0" w:firstLine="0"/>
        <w:contextualSpacing/>
        <w:jc w:val="both"/>
        <w:rPr>
          <w:rFonts w:ascii="Times New Roman" w:hAnsi="Times New Roman"/>
          <w:sz w:val="24"/>
          <w:szCs w:val="24"/>
          <w:lang w:val="en-GB"/>
        </w:rPr>
      </w:pPr>
      <w:r w:rsidRPr="00CC4CEB">
        <w:rPr>
          <w:rFonts w:ascii="Times New Roman" w:hAnsi="Times New Roman"/>
          <w:sz w:val="24"/>
          <w:szCs w:val="24"/>
          <w:lang w:val="en-GB"/>
        </w:rPr>
        <w:t>This Decision enters into force at the expiration of the term of two months from the date of publication in the Official Monitor of the Republic of Moldova.</w:t>
      </w:r>
    </w:p>
    <w:p w14:paraId="0757722C" w14:textId="77777777" w:rsidR="009F6858" w:rsidRPr="00CC4CEB" w:rsidRDefault="009F6858" w:rsidP="00CC4CEB">
      <w:pPr>
        <w:numPr>
          <w:ilvl w:val="0"/>
          <w:numId w:val="61"/>
        </w:numPr>
        <w:tabs>
          <w:tab w:val="left" w:pos="567"/>
        </w:tabs>
        <w:spacing w:line="240" w:lineRule="auto"/>
        <w:ind w:left="0" w:firstLine="0"/>
        <w:contextualSpacing/>
        <w:jc w:val="both"/>
        <w:rPr>
          <w:rFonts w:ascii="Times New Roman" w:hAnsi="Times New Roman"/>
          <w:sz w:val="24"/>
          <w:szCs w:val="24"/>
          <w:lang w:val="en-GB"/>
        </w:rPr>
      </w:pPr>
      <w:r w:rsidRPr="00CC4CEB">
        <w:rPr>
          <w:rFonts w:ascii="Times New Roman" w:hAnsi="Times New Roman"/>
          <w:sz w:val="24"/>
          <w:szCs w:val="24"/>
          <w:lang w:val="en-GB"/>
        </w:rPr>
        <w:t>The first report in accordance with the provisions of the Chapter VII of the regulation referred to in point 1 will be published by 30 September 2021 for the situation of 30 June 2021.</w:t>
      </w:r>
    </w:p>
    <w:p w14:paraId="40C3BA8E" w14:textId="77777777" w:rsidR="009F6858" w:rsidRPr="00CC4CEB" w:rsidRDefault="009F6858" w:rsidP="009F6858">
      <w:pPr>
        <w:spacing w:line="240" w:lineRule="auto"/>
        <w:jc w:val="right"/>
        <w:rPr>
          <w:rFonts w:ascii="Times New Roman" w:hAnsi="Times New Roman"/>
          <w:sz w:val="24"/>
          <w:szCs w:val="24"/>
          <w:lang w:val="en-GB"/>
        </w:rPr>
      </w:pPr>
    </w:p>
    <w:p w14:paraId="2FD8B8BF" w14:textId="77777777" w:rsidR="009F6858" w:rsidRPr="00CC4CEB" w:rsidRDefault="009F6858" w:rsidP="009F6858">
      <w:pPr>
        <w:spacing w:after="0" w:line="240" w:lineRule="auto"/>
        <w:jc w:val="right"/>
        <w:rPr>
          <w:rFonts w:ascii="Times New Roman" w:hAnsi="Times New Roman"/>
          <w:b/>
          <w:sz w:val="24"/>
          <w:szCs w:val="24"/>
          <w:lang w:val="en-GB"/>
        </w:rPr>
      </w:pPr>
      <w:r w:rsidRPr="00CC4CEB">
        <w:rPr>
          <w:rFonts w:ascii="Times New Roman" w:hAnsi="Times New Roman"/>
          <w:b/>
          <w:sz w:val="24"/>
          <w:szCs w:val="24"/>
          <w:lang w:val="en-GB"/>
        </w:rPr>
        <w:t xml:space="preserve">Chairman </w:t>
      </w:r>
    </w:p>
    <w:p w14:paraId="28344517" w14:textId="77777777" w:rsidR="009F6858" w:rsidRPr="00CC4CEB" w:rsidRDefault="009F6858" w:rsidP="009F6858">
      <w:pPr>
        <w:spacing w:after="0" w:line="240" w:lineRule="auto"/>
        <w:jc w:val="right"/>
        <w:rPr>
          <w:rFonts w:ascii="Times New Roman" w:hAnsi="Times New Roman"/>
          <w:b/>
          <w:sz w:val="24"/>
          <w:szCs w:val="24"/>
          <w:lang w:val="en-GB"/>
        </w:rPr>
      </w:pPr>
      <w:r w:rsidRPr="00CC4CEB">
        <w:rPr>
          <w:rFonts w:ascii="Times New Roman" w:hAnsi="Times New Roman"/>
          <w:b/>
          <w:sz w:val="24"/>
          <w:szCs w:val="24"/>
          <w:lang w:val="en-GB"/>
        </w:rPr>
        <w:t>of the Executive Board</w:t>
      </w:r>
    </w:p>
    <w:p w14:paraId="784B44B1" w14:textId="77777777" w:rsidR="009F6858" w:rsidRPr="00CC4CEB" w:rsidRDefault="009F6858" w:rsidP="009F6858">
      <w:pPr>
        <w:spacing w:line="240" w:lineRule="auto"/>
        <w:jc w:val="right"/>
        <w:rPr>
          <w:rFonts w:ascii="Times New Roman" w:hAnsi="Times New Roman"/>
          <w:b/>
          <w:sz w:val="24"/>
          <w:szCs w:val="24"/>
          <w:lang w:val="en-GB"/>
        </w:rPr>
      </w:pPr>
    </w:p>
    <w:p w14:paraId="7A97231F" w14:textId="77777777" w:rsidR="009F6858" w:rsidRPr="00CC4CEB" w:rsidRDefault="009F6858" w:rsidP="009F6858">
      <w:pPr>
        <w:spacing w:after="0" w:line="240" w:lineRule="auto"/>
        <w:jc w:val="right"/>
        <w:rPr>
          <w:rFonts w:ascii="Times New Roman" w:hAnsi="Times New Roman"/>
          <w:b/>
          <w:sz w:val="24"/>
          <w:szCs w:val="24"/>
          <w:lang w:val="en-GB"/>
        </w:rPr>
      </w:pPr>
      <w:r w:rsidRPr="00CC4CEB">
        <w:rPr>
          <w:rFonts w:ascii="Times New Roman" w:hAnsi="Times New Roman"/>
          <w:b/>
          <w:sz w:val="24"/>
          <w:szCs w:val="24"/>
          <w:lang w:val="en-GB"/>
        </w:rPr>
        <w:t>Octavian ARMAȘU</w:t>
      </w:r>
    </w:p>
    <w:p w14:paraId="132B60F6" w14:textId="77777777" w:rsidR="009F6858" w:rsidRPr="00CC4CEB" w:rsidRDefault="009F6858" w:rsidP="009F6858">
      <w:pPr>
        <w:spacing w:after="0" w:line="240" w:lineRule="auto"/>
        <w:rPr>
          <w:rFonts w:ascii="Times New Roman" w:hAnsi="Times New Roman"/>
          <w:b/>
          <w:sz w:val="24"/>
          <w:szCs w:val="24"/>
          <w:lang w:val="en-GB"/>
        </w:rPr>
      </w:pPr>
    </w:p>
    <w:p w14:paraId="02338B39" w14:textId="77777777" w:rsidR="009F6858" w:rsidRPr="00CC4CEB" w:rsidRDefault="009F6858" w:rsidP="009F6858">
      <w:pPr>
        <w:spacing w:after="0" w:line="240" w:lineRule="auto"/>
        <w:rPr>
          <w:rFonts w:ascii="Times New Roman" w:hAnsi="Times New Roman"/>
          <w:b/>
          <w:sz w:val="24"/>
          <w:szCs w:val="24"/>
          <w:lang w:val="en-GB"/>
        </w:rPr>
      </w:pPr>
      <w:r w:rsidRPr="00CC4CEB">
        <w:rPr>
          <w:rFonts w:ascii="Times New Roman" w:hAnsi="Times New Roman"/>
          <w:b/>
          <w:sz w:val="24"/>
          <w:szCs w:val="24"/>
          <w:lang w:val="en-GB"/>
        </w:rPr>
        <w:t>Chișinău, 9 July 2020</w:t>
      </w:r>
    </w:p>
    <w:p w14:paraId="0E70B29F" w14:textId="77777777" w:rsidR="009F6858" w:rsidRPr="00CC4CEB" w:rsidRDefault="009F6858" w:rsidP="009F6858">
      <w:pPr>
        <w:spacing w:after="0" w:line="240" w:lineRule="auto"/>
        <w:rPr>
          <w:rFonts w:ascii="Times New Roman" w:hAnsi="Times New Roman"/>
          <w:b/>
          <w:sz w:val="24"/>
          <w:szCs w:val="24"/>
          <w:lang w:val="en-GB"/>
        </w:rPr>
      </w:pPr>
      <w:r w:rsidRPr="00CC4CEB">
        <w:rPr>
          <w:rFonts w:ascii="Times New Roman" w:hAnsi="Times New Roman"/>
          <w:b/>
          <w:sz w:val="24"/>
          <w:szCs w:val="24"/>
          <w:lang w:val="en-GB"/>
        </w:rPr>
        <w:t>No. 158</w:t>
      </w:r>
    </w:p>
    <w:p w14:paraId="148137FC" w14:textId="77777777" w:rsidR="009F6858" w:rsidRPr="00CC4CEB" w:rsidRDefault="009F6858" w:rsidP="009F6858">
      <w:pPr>
        <w:rPr>
          <w:sz w:val="24"/>
          <w:szCs w:val="24"/>
          <w:lang w:val="en-GB"/>
        </w:rPr>
      </w:pPr>
    </w:p>
    <w:p w14:paraId="3C4D8E32" w14:textId="77777777" w:rsidR="00AC7ED4" w:rsidRPr="0029408A" w:rsidRDefault="00C04233" w:rsidP="00C04233">
      <w:pPr>
        <w:tabs>
          <w:tab w:val="right" w:pos="9689"/>
        </w:tabs>
        <w:rPr>
          <w:rFonts w:ascii="Times New Roman" w:eastAsia="Times New Roman" w:hAnsi="Times New Roman"/>
          <w:color w:val="000000"/>
          <w:sz w:val="24"/>
          <w:szCs w:val="24"/>
          <w:lang w:val="en-GB"/>
        </w:rPr>
      </w:pPr>
      <w:r w:rsidRPr="00C04233">
        <w:rPr>
          <w:rFonts w:ascii="Times New Roman" w:eastAsia="Times New Roman" w:hAnsi="Times New Roman"/>
          <w:sz w:val="24"/>
          <w:szCs w:val="24"/>
          <w:lang w:val="en-GB"/>
        </w:rPr>
        <w:br w:type="page"/>
      </w:r>
      <w:r w:rsidRPr="0029408A">
        <w:rPr>
          <w:rFonts w:ascii="Times New Roman" w:eastAsia="Times New Roman" w:hAnsi="Times New Roman"/>
          <w:color w:val="000000"/>
          <w:sz w:val="24"/>
          <w:szCs w:val="24"/>
          <w:lang w:val="en-GB"/>
        </w:rPr>
        <w:lastRenderedPageBreak/>
        <w:tab/>
      </w:r>
      <w:r w:rsidR="00AC7ED4" w:rsidRPr="0029408A">
        <w:rPr>
          <w:rFonts w:ascii="Times New Roman" w:eastAsia="Times New Roman" w:hAnsi="Times New Roman"/>
          <w:color w:val="000000"/>
          <w:sz w:val="24"/>
          <w:szCs w:val="24"/>
          <w:lang w:val="en-GB"/>
        </w:rPr>
        <w:t xml:space="preserve">Annex </w:t>
      </w:r>
    </w:p>
    <w:p w14:paraId="0654F13B" w14:textId="77777777" w:rsidR="00AC7ED4" w:rsidRPr="0029408A" w:rsidRDefault="00AC7ED4" w:rsidP="004E6D8A">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to the Decision of the Executive Board </w:t>
      </w:r>
    </w:p>
    <w:p w14:paraId="03B7087A" w14:textId="77777777" w:rsidR="004E6D8A" w:rsidRPr="0029408A" w:rsidRDefault="00AC7ED4" w:rsidP="004E6D8A">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of the National Bank of Moldova</w:t>
      </w:r>
    </w:p>
    <w:p w14:paraId="1FCCF1F6" w14:textId="77777777" w:rsidR="004E6D8A" w:rsidRPr="0029408A" w:rsidRDefault="00AC7ED4" w:rsidP="004E6D8A">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no. 158 of 9 July 2020</w:t>
      </w:r>
    </w:p>
    <w:p w14:paraId="146B2257" w14:textId="77777777" w:rsidR="004F4AF6" w:rsidRPr="0029408A" w:rsidRDefault="004E6D8A" w:rsidP="006673FF">
      <w:pPr>
        <w:spacing w:after="0" w:line="240" w:lineRule="auto"/>
        <w:ind w:firstLine="567"/>
        <w:jc w:val="both"/>
        <w:rPr>
          <w:rFonts w:ascii="Times New Roman" w:eastAsia="Times New Roman" w:hAnsi="Times New Roman"/>
          <w:b/>
          <w:bCs/>
          <w:color w:val="000000"/>
          <w:sz w:val="24"/>
          <w:szCs w:val="24"/>
          <w:lang w:val="en-GB"/>
        </w:rPr>
      </w:pPr>
      <w:r w:rsidRPr="0029408A">
        <w:rPr>
          <w:rFonts w:ascii="Times New Roman" w:eastAsia="Times New Roman" w:hAnsi="Times New Roman"/>
          <w:color w:val="000000"/>
          <w:sz w:val="24"/>
          <w:szCs w:val="24"/>
          <w:lang w:val="en-GB"/>
        </w:rPr>
        <w:t> </w:t>
      </w:r>
    </w:p>
    <w:p w14:paraId="6D113161" w14:textId="77777777" w:rsidR="00AC7ED4" w:rsidRPr="0029408A" w:rsidRDefault="00AC7ED4" w:rsidP="00801CB4">
      <w:pPr>
        <w:spacing w:after="0" w:line="240" w:lineRule="auto"/>
        <w:jc w:val="center"/>
        <w:rPr>
          <w:rFonts w:ascii="Times New Roman" w:eastAsia="Times New Roman" w:hAnsi="Times New Roman"/>
          <w:b/>
          <w:bCs/>
          <w:color w:val="000000"/>
          <w:sz w:val="24"/>
          <w:szCs w:val="24"/>
          <w:highlight w:val="yellow"/>
          <w:lang w:val="en-GB"/>
        </w:rPr>
      </w:pPr>
      <w:r w:rsidRPr="0029408A">
        <w:rPr>
          <w:rFonts w:ascii="Times New Roman" w:eastAsia="Times New Roman" w:hAnsi="Times New Roman"/>
          <w:b/>
          <w:bCs/>
          <w:color w:val="000000"/>
          <w:sz w:val="24"/>
          <w:szCs w:val="24"/>
          <w:lang w:val="en-GB"/>
        </w:rPr>
        <w:t>REGULATION</w:t>
      </w:r>
      <w:r w:rsidRPr="0029408A">
        <w:rPr>
          <w:rFonts w:ascii="Times New Roman" w:eastAsia="Times New Roman" w:hAnsi="Times New Roman"/>
          <w:b/>
          <w:bCs/>
          <w:color w:val="000000"/>
          <w:sz w:val="24"/>
          <w:szCs w:val="24"/>
          <w:highlight w:val="yellow"/>
          <w:lang w:val="en-GB"/>
        </w:rPr>
        <w:t xml:space="preserve"> </w:t>
      </w:r>
    </w:p>
    <w:p w14:paraId="47A044E8" w14:textId="77777777" w:rsidR="00B31CAA" w:rsidRPr="0029408A" w:rsidRDefault="00B31CAA" w:rsidP="00B31CA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bCs/>
          <w:color w:val="000000"/>
          <w:sz w:val="24"/>
          <w:szCs w:val="24"/>
          <w:lang w:val="en-GB"/>
        </w:rPr>
        <w:t>on the requirements for publication</w:t>
      </w:r>
    </w:p>
    <w:p w14:paraId="6A805D0F" w14:textId="77777777" w:rsidR="004E6D8A" w:rsidRPr="0029408A" w:rsidRDefault="00B31CAA" w:rsidP="00B31CA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Cs/>
          <w:color w:val="000000"/>
          <w:sz w:val="24"/>
          <w:szCs w:val="24"/>
          <w:lang w:val="en-GB"/>
        </w:rPr>
        <w:t>of information by banks</w:t>
      </w:r>
      <w:r w:rsidR="004E6D8A" w:rsidRPr="0029408A">
        <w:rPr>
          <w:rFonts w:ascii="Times New Roman" w:eastAsia="Times New Roman" w:hAnsi="Times New Roman"/>
          <w:b/>
          <w:bCs/>
          <w:color w:val="000000"/>
          <w:sz w:val="24"/>
          <w:szCs w:val="24"/>
          <w:lang w:val="en-GB"/>
        </w:rPr>
        <w:t xml:space="preserve"> </w:t>
      </w:r>
    </w:p>
    <w:p w14:paraId="597EEE0D"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p w14:paraId="757F4E3F" w14:textId="77777777" w:rsidR="00870931" w:rsidRPr="0029408A" w:rsidRDefault="000A15C8" w:rsidP="004F4AF6">
      <w:pPr>
        <w:pStyle w:val="doc-ti"/>
        <w:tabs>
          <w:tab w:val="left" w:pos="1134"/>
        </w:tabs>
        <w:spacing w:before="0" w:beforeAutospacing="0" w:after="0" w:afterAutospacing="0"/>
        <w:ind w:firstLine="720"/>
        <w:jc w:val="both"/>
        <w:rPr>
          <w:rFonts w:eastAsia="Arial Unicode MS"/>
          <w:bCs/>
          <w:color w:val="000000"/>
          <w:lang w:val="en-GB"/>
        </w:rPr>
      </w:pPr>
      <w:r w:rsidRPr="0029408A">
        <w:rPr>
          <w:rFonts w:eastAsia="Arial Unicode MS"/>
          <w:bCs/>
          <w:color w:val="000000"/>
          <w:lang w:val="en-GB"/>
        </w:rPr>
        <w:t>This Regulation transposes:</w:t>
      </w:r>
    </w:p>
    <w:p w14:paraId="2FE9CBD0" w14:textId="77777777" w:rsidR="00870931" w:rsidRPr="0029408A" w:rsidRDefault="00E741C1" w:rsidP="00C04233">
      <w:pPr>
        <w:pStyle w:val="doc-ti"/>
        <w:numPr>
          <w:ilvl w:val="0"/>
          <w:numId w:val="11"/>
        </w:numPr>
        <w:tabs>
          <w:tab w:val="left" w:pos="567"/>
        </w:tabs>
        <w:spacing w:before="0" w:beforeAutospacing="0" w:after="0" w:afterAutospacing="0"/>
        <w:ind w:left="0" w:firstLine="0"/>
        <w:jc w:val="both"/>
        <w:rPr>
          <w:rFonts w:eastAsia="Arial Unicode MS"/>
          <w:b/>
          <w:bCs/>
          <w:color w:val="000000"/>
          <w:lang w:val="en-GB"/>
        </w:rPr>
      </w:pPr>
      <w:r w:rsidRPr="0029408A">
        <w:rPr>
          <w:rFonts w:eastAsia="Arial Unicode MS"/>
          <w:bCs/>
          <w:color w:val="000000"/>
          <w:lang w:val="en-GB"/>
        </w:rPr>
        <w:t>Art.431 (3) first sentence, Art.432, Art.433, Art.435, Art.436, Art.437 (1), Art.438 (a) - (c), (e), (f ), Art.439 (a) - (b), (d) - (h), Art.440 (1), Art.442, Art.444, Art.445, Art.446, Art.447, Art. 448, Art.450, Art.451 (1) and Art.453 Regulation (EU) No 575/2013 of the European Parliament and of the Council of 26 June 2013 on prudential requirements for credit institutions and investment firms and amending Regulation (EU) No 648/2012 (Text with EEA relevance), published in the Official Monitor of the European Communities no. L 176 of 27 June 2013, as last amended by Regulation (EU) 2017/2395 of the European Parliament and of the Council of 12 December 2017;</w:t>
      </w:r>
    </w:p>
    <w:p w14:paraId="373CA708" w14:textId="77777777" w:rsidR="00870931" w:rsidRPr="0029408A" w:rsidRDefault="00357994" w:rsidP="00C04233">
      <w:pPr>
        <w:pStyle w:val="doc-ti"/>
        <w:numPr>
          <w:ilvl w:val="0"/>
          <w:numId w:val="11"/>
        </w:numPr>
        <w:tabs>
          <w:tab w:val="left" w:pos="567"/>
        </w:tabs>
        <w:spacing w:before="0" w:beforeAutospacing="0" w:after="0" w:afterAutospacing="0"/>
        <w:ind w:left="0" w:firstLine="0"/>
        <w:jc w:val="both"/>
        <w:rPr>
          <w:rFonts w:eastAsia="Arial Unicode MS"/>
          <w:bCs/>
          <w:color w:val="000000"/>
          <w:lang w:val="en-GB"/>
        </w:rPr>
      </w:pPr>
      <w:r w:rsidRPr="0029408A">
        <w:rPr>
          <w:rFonts w:eastAsia="Arial Unicode MS"/>
          <w:bCs/>
          <w:color w:val="000000"/>
          <w:lang w:val="en-GB"/>
        </w:rPr>
        <w:t xml:space="preserve">Commission Implementing Regulation (EU) No. 1423/2013 of 20 December 2013 laying down implementing technical standards </w:t>
      </w:r>
      <w:proofErr w:type="gramStart"/>
      <w:r w:rsidRPr="0029408A">
        <w:rPr>
          <w:rFonts w:eastAsia="Arial Unicode MS"/>
          <w:bCs/>
          <w:color w:val="000000"/>
          <w:lang w:val="en-GB"/>
        </w:rPr>
        <w:t>with regard to</w:t>
      </w:r>
      <w:proofErr w:type="gramEnd"/>
      <w:r w:rsidRPr="0029408A">
        <w:rPr>
          <w:rFonts w:eastAsia="Arial Unicode MS"/>
          <w:bCs/>
          <w:color w:val="000000"/>
          <w:lang w:val="en-GB"/>
        </w:rPr>
        <w:t xml:space="preserve"> disclosure of own funds requirements for institutions according to Regulation (EU) No 1095/2010 Regulation (EC) No 575/2013 of the European Parliament and of the Council (Text with EEA relevance), published in the Official Monitor of the European Union no. L 355 of 31 December </w:t>
      </w:r>
      <w:proofErr w:type="gramStart"/>
      <w:r w:rsidRPr="0029408A">
        <w:rPr>
          <w:rFonts w:eastAsia="Arial Unicode MS"/>
          <w:bCs/>
          <w:color w:val="000000"/>
          <w:lang w:val="en-GB"/>
        </w:rPr>
        <w:t>2013;</w:t>
      </w:r>
      <w:proofErr w:type="gramEnd"/>
    </w:p>
    <w:p w14:paraId="2CE0A7C9" w14:textId="77777777" w:rsidR="00870931" w:rsidRPr="0029408A" w:rsidRDefault="00E21DD3" w:rsidP="00C04233">
      <w:pPr>
        <w:pStyle w:val="doc-ti"/>
        <w:numPr>
          <w:ilvl w:val="0"/>
          <w:numId w:val="11"/>
        </w:numPr>
        <w:tabs>
          <w:tab w:val="left" w:pos="567"/>
        </w:tabs>
        <w:spacing w:before="0" w:beforeAutospacing="0" w:after="0" w:afterAutospacing="0"/>
        <w:ind w:left="0" w:firstLine="0"/>
        <w:jc w:val="both"/>
        <w:rPr>
          <w:rFonts w:eastAsia="Arial Unicode MS"/>
          <w:bCs/>
          <w:color w:val="000000"/>
          <w:lang w:val="en-GB"/>
        </w:rPr>
      </w:pPr>
      <w:r w:rsidRPr="0029408A">
        <w:rPr>
          <w:rFonts w:eastAsia="Arial Unicode MS"/>
          <w:bCs/>
          <w:color w:val="000000"/>
          <w:lang w:val="en-GB"/>
        </w:rPr>
        <w:t>Commission Delegated Regulation (EU) 2015/1555 of 28 May 2015 supplementing Regulation (EU) No 575/2013 of the European Parliament and of the Council with regard to regulatory technical standards for the disclosure of information in relation to the compliance of institutions with the requirement for a countercyclical capital buffer in accordance with Article 440 (Text with EEA relevance) published in the Official Monitor of the European Union no. L 244 of 19 September 2015.</w:t>
      </w:r>
    </w:p>
    <w:p w14:paraId="4191A79B" w14:textId="77777777" w:rsidR="00870931" w:rsidRPr="0029408A" w:rsidRDefault="00870931" w:rsidP="004F4AF6">
      <w:pPr>
        <w:tabs>
          <w:tab w:val="left" w:pos="1134"/>
        </w:tabs>
        <w:spacing w:after="0" w:line="240" w:lineRule="auto"/>
        <w:ind w:firstLine="720"/>
        <w:jc w:val="both"/>
        <w:rPr>
          <w:rFonts w:ascii="Times New Roman" w:eastAsia="Times New Roman" w:hAnsi="Times New Roman"/>
          <w:b/>
          <w:bCs/>
          <w:color w:val="000000"/>
          <w:sz w:val="24"/>
          <w:szCs w:val="24"/>
          <w:lang w:val="en-GB"/>
        </w:rPr>
      </w:pPr>
    </w:p>
    <w:p w14:paraId="0BD7BA22" w14:textId="77777777" w:rsidR="00C97D93" w:rsidRPr="0029408A" w:rsidRDefault="00C97D93" w:rsidP="00C97D93">
      <w:pPr>
        <w:tabs>
          <w:tab w:val="left" w:pos="1134"/>
        </w:tabs>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Chapter I</w:t>
      </w:r>
    </w:p>
    <w:p w14:paraId="6E0C4F24" w14:textId="77777777" w:rsidR="004E6D8A" w:rsidRPr="0029408A" w:rsidRDefault="00C97D93" w:rsidP="00C97D93">
      <w:pPr>
        <w:tabs>
          <w:tab w:val="left" w:pos="1134"/>
        </w:tabs>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GENERAL PROVISIONS</w:t>
      </w:r>
    </w:p>
    <w:p w14:paraId="6944F908" w14:textId="77777777" w:rsidR="00CF216E" w:rsidRPr="0029408A" w:rsidRDefault="00C97D93" w:rsidP="00CA736E">
      <w:pPr>
        <w:pStyle w:val="tt"/>
        <w:numPr>
          <w:ilvl w:val="0"/>
          <w:numId w:val="12"/>
        </w:numPr>
        <w:tabs>
          <w:tab w:val="left" w:pos="567"/>
          <w:tab w:val="left" w:pos="1134"/>
        </w:tabs>
        <w:spacing w:before="0" w:beforeAutospacing="0" w:after="0" w:afterAutospacing="0"/>
        <w:ind w:left="0" w:firstLine="0"/>
        <w:jc w:val="both"/>
        <w:rPr>
          <w:b/>
          <w:color w:val="000000"/>
          <w:lang w:val="en-GB"/>
        </w:rPr>
      </w:pPr>
      <w:r w:rsidRPr="0029408A">
        <w:rPr>
          <w:rFonts w:eastAsia="Arial Unicode MS"/>
          <w:bCs/>
          <w:color w:val="000000"/>
          <w:lang w:val="en-GB"/>
        </w:rPr>
        <w:t>This Regulation shall apply to banks established in the Republic of Moldova, to branches in the Republic of Moldova of banks from other States, hereinafter referred to as "banks".</w:t>
      </w:r>
    </w:p>
    <w:p w14:paraId="1612A9E9" w14:textId="77777777" w:rsidR="000B499B" w:rsidRPr="0029408A" w:rsidRDefault="00F02E3A" w:rsidP="00CA736E">
      <w:pPr>
        <w:pStyle w:val="tt"/>
        <w:numPr>
          <w:ilvl w:val="0"/>
          <w:numId w:val="12"/>
        </w:numPr>
        <w:tabs>
          <w:tab w:val="left" w:pos="567"/>
          <w:tab w:val="left" w:pos="1134"/>
        </w:tabs>
        <w:spacing w:before="0" w:beforeAutospacing="0" w:after="0" w:afterAutospacing="0"/>
        <w:ind w:left="0" w:firstLine="0"/>
        <w:jc w:val="both"/>
        <w:rPr>
          <w:b/>
          <w:color w:val="000000"/>
          <w:lang w:val="en-GB"/>
        </w:rPr>
      </w:pPr>
      <w:r w:rsidRPr="0029408A">
        <w:rPr>
          <w:color w:val="000000"/>
          <w:lang w:val="en-GB"/>
        </w:rPr>
        <w:t>This Regulation establishes the criteria, requirements and method for the publication by banks of information on economic and financial activity, the provision of services and provision of banking products, governance, including the bank's shareholders, business management framework, own funds, capital requirements, risk exposures, capital buffers, internal policies, including the remuneration policy.</w:t>
      </w:r>
    </w:p>
    <w:p w14:paraId="650D08BD" w14:textId="77777777" w:rsidR="004E6D8A" w:rsidRPr="0029408A" w:rsidRDefault="008475EB" w:rsidP="00CA736E">
      <w:pPr>
        <w:pStyle w:val="tt"/>
        <w:numPr>
          <w:ilvl w:val="0"/>
          <w:numId w:val="12"/>
        </w:numPr>
        <w:tabs>
          <w:tab w:val="left" w:pos="567"/>
          <w:tab w:val="left" w:pos="1134"/>
        </w:tabs>
        <w:spacing w:before="0" w:beforeAutospacing="0" w:after="0" w:afterAutospacing="0"/>
        <w:ind w:left="0" w:firstLine="0"/>
        <w:jc w:val="both"/>
        <w:rPr>
          <w:b/>
          <w:color w:val="000000"/>
          <w:lang w:val="en-GB"/>
        </w:rPr>
      </w:pPr>
      <w:r w:rsidRPr="0029408A">
        <w:rPr>
          <w:color w:val="000000"/>
          <w:lang w:val="en-GB"/>
        </w:rPr>
        <w:t>The terms, notions and expressions used have the meaning of those provided in Law no. 202/2017 on the activity of banks (hereinafter Law no. 202/2017) and in the normative acts issued by the National Bank of Moldova in its application. For the purposes of this Regulation, the following notions shall also be used:</w:t>
      </w:r>
    </w:p>
    <w:p w14:paraId="4015243C" w14:textId="77777777" w:rsidR="004E6D8A" w:rsidRPr="0029408A" w:rsidRDefault="000D5A8F"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b/>
          <w:bCs/>
          <w:i/>
          <w:iCs/>
          <w:color w:val="000000"/>
          <w:sz w:val="24"/>
          <w:szCs w:val="24"/>
          <w:lang w:val="en-GB"/>
        </w:rPr>
        <w:t xml:space="preserve">Bank office - </w:t>
      </w:r>
      <w:r w:rsidRPr="0029408A">
        <w:rPr>
          <w:rFonts w:ascii="Times New Roman" w:eastAsia="Times New Roman" w:hAnsi="Times New Roman"/>
          <w:bCs/>
          <w:iCs/>
          <w:color w:val="000000"/>
          <w:sz w:val="24"/>
          <w:szCs w:val="24"/>
          <w:lang w:val="en-GB"/>
        </w:rPr>
        <w:t>the premises where the bank territorial subdivision is located (headquarters, branch, representative and secondary offices).</w:t>
      </w:r>
    </w:p>
    <w:p w14:paraId="061BE904" w14:textId="77777777" w:rsidR="004E6D8A" w:rsidRPr="0029408A" w:rsidRDefault="00AA73B7"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b/>
          <w:bCs/>
          <w:i/>
          <w:iCs/>
          <w:color w:val="000000"/>
          <w:sz w:val="24"/>
          <w:szCs w:val="24"/>
          <w:lang w:val="en-GB"/>
        </w:rPr>
        <w:t xml:space="preserve">Noticeboard - </w:t>
      </w:r>
      <w:r w:rsidRPr="0029408A">
        <w:rPr>
          <w:rFonts w:ascii="Times New Roman" w:eastAsia="Times New Roman" w:hAnsi="Times New Roman"/>
          <w:bCs/>
          <w:iCs/>
          <w:color w:val="000000"/>
          <w:sz w:val="24"/>
          <w:szCs w:val="24"/>
          <w:lang w:val="en-GB"/>
        </w:rPr>
        <w:t>a board / electronic device in a bank office where public information is displayed in a publicly accessible place.</w:t>
      </w:r>
    </w:p>
    <w:p w14:paraId="77C70269" w14:textId="77777777" w:rsidR="004E6D8A" w:rsidRPr="0029408A" w:rsidRDefault="00A25199"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b/>
          <w:bCs/>
          <w:i/>
          <w:iCs/>
          <w:color w:val="000000"/>
          <w:sz w:val="24"/>
          <w:szCs w:val="24"/>
          <w:lang w:val="en-GB"/>
        </w:rPr>
        <w:t xml:space="preserve">Interest rate - </w:t>
      </w:r>
      <w:r w:rsidRPr="0029408A">
        <w:rPr>
          <w:rFonts w:ascii="Times New Roman" w:eastAsia="Times New Roman" w:hAnsi="Times New Roman"/>
          <w:bCs/>
          <w:iCs/>
          <w:color w:val="000000"/>
          <w:sz w:val="24"/>
          <w:szCs w:val="24"/>
          <w:lang w:val="en-GB"/>
        </w:rPr>
        <w:t>the interest rate expressed as a fixed or floating rate applied to the credit (deposit) balance annually.</w:t>
      </w:r>
    </w:p>
    <w:p w14:paraId="28B46CAF" w14:textId="77777777" w:rsidR="004E6D8A" w:rsidRPr="0029408A" w:rsidRDefault="00BF0C2C"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b/>
          <w:bCs/>
          <w:i/>
          <w:iCs/>
          <w:color w:val="000000"/>
          <w:sz w:val="24"/>
          <w:szCs w:val="24"/>
          <w:lang w:val="en-GB"/>
        </w:rPr>
        <w:lastRenderedPageBreak/>
        <w:t xml:space="preserve">Consumer - </w:t>
      </w:r>
      <w:r w:rsidRPr="0029408A">
        <w:rPr>
          <w:rFonts w:ascii="Times New Roman" w:eastAsia="Times New Roman" w:hAnsi="Times New Roman"/>
          <w:bCs/>
          <w:iCs/>
          <w:color w:val="000000"/>
          <w:sz w:val="24"/>
          <w:szCs w:val="24"/>
          <w:lang w:val="en-GB"/>
        </w:rPr>
        <w:t>an individual who intends to order or purchase or orders, purchases or uses products and services for needs unrelated to entrepreneurial or professional activity.</w:t>
      </w:r>
    </w:p>
    <w:p w14:paraId="2CBA36D7" w14:textId="77777777" w:rsidR="004E6D8A" w:rsidRPr="0029408A" w:rsidRDefault="00CF4790"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b/>
          <w:bCs/>
          <w:i/>
          <w:iCs/>
          <w:color w:val="000000"/>
          <w:sz w:val="24"/>
          <w:szCs w:val="24"/>
          <w:lang w:val="en-GB"/>
        </w:rPr>
        <w:t xml:space="preserve">Total cost of credit - </w:t>
      </w:r>
      <w:r w:rsidRPr="0029408A">
        <w:rPr>
          <w:rFonts w:ascii="Times New Roman" w:eastAsia="Times New Roman" w:hAnsi="Times New Roman"/>
          <w:bCs/>
          <w:iCs/>
          <w:color w:val="000000"/>
          <w:sz w:val="24"/>
          <w:szCs w:val="24"/>
          <w:lang w:val="en-GB"/>
        </w:rPr>
        <w:t>all costs, including interest rate, commissions, fees and any other costs that have to bear the borrower in connection with the credit agreement and which are known to the lender, except for notarial costs; costs of auxiliary services, related to the credit agreement, in particular the average insurance premiums, are included when obtaining a credit or its obtaining is subject to closing a service contract under the terms and conditions set forth.</w:t>
      </w:r>
    </w:p>
    <w:p w14:paraId="7ED69198" w14:textId="77777777" w:rsidR="004E6D8A" w:rsidRPr="0029408A" w:rsidRDefault="00413702"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b/>
          <w:bCs/>
          <w:i/>
          <w:iCs/>
          <w:color w:val="000000"/>
          <w:sz w:val="24"/>
          <w:szCs w:val="24"/>
          <w:lang w:val="en-GB"/>
        </w:rPr>
        <w:t>Total amount of credit -</w:t>
      </w:r>
      <w:r w:rsidRPr="0029408A">
        <w:rPr>
          <w:rFonts w:ascii="Times New Roman" w:eastAsia="Times New Roman" w:hAnsi="Times New Roman"/>
          <w:bCs/>
          <w:iCs/>
          <w:color w:val="000000"/>
          <w:sz w:val="24"/>
          <w:szCs w:val="24"/>
          <w:lang w:val="en-GB"/>
        </w:rPr>
        <w:t xml:space="preserve"> total amount made available under a credit agreement.</w:t>
      </w:r>
    </w:p>
    <w:p w14:paraId="089C7CF7" w14:textId="77777777" w:rsidR="004E6D8A" w:rsidRPr="0029408A" w:rsidRDefault="009775B9"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b/>
          <w:bCs/>
          <w:i/>
          <w:iCs/>
          <w:color w:val="000000"/>
          <w:sz w:val="24"/>
          <w:szCs w:val="24"/>
          <w:lang w:val="en-GB"/>
        </w:rPr>
        <w:t xml:space="preserve">Annual effective interest rate - </w:t>
      </w:r>
      <w:r w:rsidRPr="0029408A">
        <w:rPr>
          <w:rFonts w:ascii="Times New Roman" w:eastAsia="Times New Roman" w:hAnsi="Times New Roman"/>
          <w:bCs/>
          <w:iCs/>
          <w:color w:val="000000"/>
          <w:sz w:val="24"/>
          <w:szCs w:val="24"/>
          <w:lang w:val="en-GB"/>
        </w:rPr>
        <w:t>the total cost of the credit granted to consumer, expressed as an annual percentage of the total credit amount, including costs referred to in Article 23 paragraph (2) of the Law on credit agreements for consumers, as appropriate.</w:t>
      </w:r>
    </w:p>
    <w:p w14:paraId="7672D63C" w14:textId="77777777" w:rsidR="00AD12BC" w:rsidRPr="0029408A" w:rsidRDefault="00AD5CB6" w:rsidP="00CA736E">
      <w:pPr>
        <w:pStyle w:val="tt"/>
        <w:numPr>
          <w:ilvl w:val="0"/>
          <w:numId w:val="12"/>
        </w:numPr>
        <w:tabs>
          <w:tab w:val="left" w:pos="567"/>
        </w:tabs>
        <w:spacing w:before="0" w:beforeAutospacing="0" w:after="0" w:afterAutospacing="0"/>
        <w:ind w:left="0" w:firstLine="0"/>
        <w:jc w:val="both"/>
        <w:rPr>
          <w:b/>
          <w:color w:val="000000"/>
          <w:lang w:val="en-GB"/>
        </w:rPr>
      </w:pPr>
      <w:bookmarkStart w:id="0" w:name="_Ref19888188"/>
      <w:r w:rsidRPr="0029408A">
        <w:rPr>
          <w:color w:val="000000"/>
          <w:lang w:val="en-GB"/>
        </w:rPr>
        <w:t xml:space="preserve">Subject to </w:t>
      </w:r>
      <w:r w:rsidR="007D3105" w:rsidRPr="0029408A">
        <w:rPr>
          <w:color w:val="000000"/>
          <w:lang w:val="en-GB"/>
        </w:rPr>
        <w:t>point</w:t>
      </w:r>
      <w:r w:rsidRPr="0029408A">
        <w:rPr>
          <w:color w:val="000000"/>
          <w:lang w:val="en-GB"/>
        </w:rPr>
        <w:t xml:space="preserve"> 5, banks shall be required to publish the information required by the Regulation.</w:t>
      </w:r>
      <w:r w:rsidR="000B0484" w:rsidRPr="0029408A">
        <w:rPr>
          <w:color w:val="000000"/>
          <w:lang w:val="en-GB"/>
        </w:rPr>
        <w:t xml:space="preserve"> </w:t>
      </w:r>
    </w:p>
    <w:bookmarkEnd w:id="0"/>
    <w:p w14:paraId="2E91B914" w14:textId="77777777" w:rsidR="000B0484" w:rsidRPr="0029408A" w:rsidRDefault="001001DE" w:rsidP="00CA736E">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 xml:space="preserve">Banks may not publish one or more of the information required by the Regulation if that information is not considered significant, is a proprietary of the bank or is confidential, as determined in accordance with the criteria set out in Chapter II. The information referred to in </w:t>
      </w:r>
      <w:r w:rsidR="007D3105" w:rsidRPr="0029408A">
        <w:rPr>
          <w:color w:val="000000"/>
          <w:lang w:val="en-GB"/>
        </w:rPr>
        <w:t>point</w:t>
      </w:r>
      <w:r w:rsidRPr="0029408A">
        <w:rPr>
          <w:color w:val="000000"/>
          <w:lang w:val="en-GB"/>
        </w:rPr>
        <w:t xml:space="preserve"> 53 </w:t>
      </w:r>
      <w:r w:rsidR="00EB0B22" w:rsidRPr="0029408A">
        <w:rPr>
          <w:color w:val="000000"/>
          <w:lang w:val="en-GB"/>
        </w:rPr>
        <w:t>sub-</w:t>
      </w:r>
      <w:r w:rsidR="007D3105" w:rsidRPr="0029408A">
        <w:rPr>
          <w:color w:val="000000"/>
          <w:lang w:val="en-GB"/>
        </w:rPr>
        <w:t>point</w:t>
      </w:r>
      <w:r w:rsidRPr="0029408A">
        <w:rPr>
          <w:color w:val="000000"/>
          <w:lang w:val="en-GB"/>
        </w:rPr>
        <w:t xml:space="preserve"> (3) and </w:t>
      </w:r>
      <w:r w:rsidR="007D3105" w:rsidRPr="0029408A">
        <w:rPr>
          <w:color w:val="000000"/>
          <w:lang w:val="en-GB"/>
        </w:rPr>
        <w:t>point</w:t>
      </w:r>
      <w:r w:rsidRPr="0029408A">
        <w:rPr>
          <w:color w:val="000000"/>
          <w:lang w:val="en-GB"/>
        </w:rPr>
        <w:t xml:space="preserve"> 54 may not be considered insignificant and the information provided for in </w:t>
      </w:r>
      <w:r w:rsidR="007D3105" w:rsidRPr="0029408A">
        <w:rPr>
          <w:color w:val="000000"/>
          <w:lang w:val="en-GB"/>
        </w:rPr>
        <w:t>point</w:t>
      </w:r>
      <w:r w:rsidRPr="0029408A">
        <w:rPr>
          <w:color w:val="000000"/>
          <w:lang w:val="en-GB"/>
        </w:rPr>
        <w:t>s 54 and 56 may not be considered proprietary or confidential.</w:t>
      </w:r>
    </w:p>
    <w:p w14:paraId="277602B8" w14:textId="77777777" w:rsidR="004E6D8A" w:rsidRPr="0029408A" w:rsidRDefault="00247AE1" w:rsidP="00CA736E">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Banks will have internal policies in place to ensure compliance with the publication requirements set out in the regulation, to assess the adequacy of published information, including from the perspective of providing market participants with a complete picture of the bank's risk profile, to assess the frequency of publication of information, as well as for the use of derogations related to the publication of information in accordance with this Regulation</w:t>
      </w:r>
      <w:r w:rsidR="00C973A3" w:rsidRPr="0029408A">
        <w:rPr>
          <w:color w:val="000000"/>
          <w:lang w:val="en-GB"/>
        </w:rPr>
        <w:t>.</w:t>
      </w:r>
      <w:r w:rsidR="000B0484" w:rsidRPr="0029408A">
        <w:rPr>
          <w:color w:val="000000"/>
          <w:lang w:val="en-GB"/>
        </w:rPr>
        <w:t xml:space="preserve"> </w:t>
      </w:r>
    </w:p>
    <w:p w14:paraId="75530723" w14:textId="77777777" w:rsidR="001F1387" w:rsidRPr="0029408A" w:rsidRDefault="0013627E" w:rsidP="00CA736E">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The branches of banks from other states, in addition to the information mentioned in the regulation, will publish, in Romanian, the documents mentioned in Art. 31 paragraph (1) of Law 202/2017, prepared and audited according to the legislation of the bank's state of origin.</w:t>
      </w:r>
      <w:r w:rsidR="001F1387" w:rsidRPr="0029408A">
        <w:rPr>
          <w:color w:val="000000"/>
          <w:lang w:val="en-GB"/>
        </w:rPr>
        <w:t xml:space="preserve"> </w:t>
      </w:r>
    </w:p>
    <w:p w14:paraId="0D45AFB2" w14:textId="77777777" w:rsidR="00BB7463" w:rsidRPr="0029408A" w:rsidRDefault="006F7E50" w:rsidP="00CA736E">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Banks which have established branches in another State shall publish annually, separately in each State in which they have established a branch, the following information:</w:t>
      </w:r>
    </w:p>
    <w:p w14:paraId="4571FB62" w14:textId="77777777" w:rsidR="006F7E50" w:rsidRPr="0029408A" w:rsidRDefault="006F7E50" w:rsidP="00CA736E">
      <w:pPr>
        <w:pStyle w:val="ListParagraph"/>
        <w:numPr>
          <w:ilvl w:val="1"/>
          <w:numId w:val="58"/>
        </w:numPr>
        <w:tabs>
          <w:tab w:val="left" w:pos="1134"/>
        </w:tabs>
        <w:ind w:left="567" w:firstLine="0"/>
        <w:jc w:val="both"/>
        <w:rPr>
          <w:color w:val="000000"/>
        </w:rPr>
      </w:pPr>
      <w:r w:rsidRPr="0029408A">
        <w:rPr>
          <w:color w:val="000000"/>
        </w:rPr>
        <w:t xml:space="preserve">name, nature of activities and geographical </w:t>
      </w:r>
      <w:proofErr w:type="gramStart"/>
      <w:r w:rsidRPr="0029408A">
        <w:rPr>
          <w:color w:val="000000"/>
        </w:rPr>
        <w:t>location;</w:t>
      </w:r>
      <w:proofErr w:type="gramEnd"/>
    </w:p>
    <w:p w14:paraId="40C5AF86" w14:textId="77777777" w:rsidR="006F7E50" w:rsidRPr="0029408A" w:rsidRDefault="006F7E50" w:rsidP="00CA736E">
      <w:pPr>
        <w:pStyle w:val="ListParagraph"/>
        <w:numPr>
          <w:ilvl w:val="1"/>
          <w:numId w:val="58"/>
        </w:numPr>
        <w:tabs>
          <w:tab w:val="left" w:pos="1134"/>
        </w:tabs>
        <w:ind w:left="567" w:firstLine="0"/>
        <w:jc w:val="both"/>
        <w:rPr>
          <w:color w:val="000000"/>
        </w:rPr>
      </w:pPr>
      <w:proofErr w:type="gramStart"/>
      <w:r w:rsidRPr="0029408A">
        <w:rPr>
          <w:color w:val="000000"/>
        </w:rPr>
        <w:t>turnover;</w:t>
      </w:r>
      <w:proofErr w:type="gramEnd"/>
    </w:p>
    <w:p w14:paraId="7AEB881C" w14:textId="77777777" w:rsidR="006F7E50" w:rsidRPr="0029408A" w:rsidRDefault="006F7E50" w:rsidP="00CA736E">
      <w:pPr>
        <w:pStyle w:val="ListParagraph"/>
        <w:numPr>
          <w:ilvl w:val="1"/>
          <w:numId w:val="58"/>
        </w:numPr>
        <w:tabs>
          <w:tab w:val="left" w:pos="1134"/>
        </w:tabs>
        <w:ind w:left="567" w:firstLine="0"/>
        <w:jc w:val="both"/>
        <w:rPr>
          <w:color w:val="000000"/>
        </w:rPr>
      </w:pPr>
      <w:r w:rsidRPr="0029408A">
        <w:rPr>
          <w:color w:val="000000"/>
        </w:rPr>
        <w:t xml:space="preserve">the total number of </w:t>
      </w:r>
      <w:proofErr w:type="gramStart"/>
      <w:r w:rsidRPr="0029408A">
        <w:rPr>
          <w:color w:val="000000"/>
        </w:rPr>
        <w:t>employees;</w:t>
      </w:r>
      <w:proofErr w:type="gramEnd"/>
    </w:p>
    <w:p w14:paraId="38D1919C" w14:textId="77777777" w:rsidR="006F7E50" w:rsidRPr="0029408A" w:rsidRDefault="006F7E50" w:rsidP="00CA736E">
      <w:pPr>
        <w:pStyle w:val="ListParagraph"/>
        <w:numPr>
          <w:ilvl w:val="1"/>
          <w:numId w:val="58"/>
        </w:numPr>
        <w:tabs>
          <w:tab w:val="left" w:pos="1134"/>
        </w:tabs>
        <w:ind w:left="567" w:firstLine="0"/>
        <w:jc w:val="both"/>
        <w:rPr>
          <w:color w:val="000000"/>
        </w:rPr>
      </w:pPr>
      <w:r w:rsidRPr="0029408A">
        <w:rPr>
          <w:color w:val="000000"/>
        </w:rPr>
        <w:t xml:space="preserve">profit or loss before </w:t>
      </w:r>
      <w:proofErr w:type="gramStart"/>
      <w:r w:rsidRPr="0029408A">
        <w:rPr>
          <w:color w:val="000000"/>
        </w:rPr>
        <w:t>tax;</w:t>
      </w:r>
      <w:proofErr w:type="gramEnd"/>
    </w:p>
    <w:p w14:paraId="5ACBD5D4" w14:textId="77777777" w:rsidR="006F7E50" w:rsidRPr="0029408A" w:rsidRDefault="006F7E50" w:rsidP="00CA736E">
      <w:pPr>
        <w:pStyle w:val="ListParagraph"/>
        <w:numPr>
          <w:ilvl w:val="1"/>
          <w:numId w:val="58"/>
        </w:numPr>
        <w:tabs>
          <w:tab w:val="left" w:pos="1134"/>
        </w:tabs>
        <w:ind w:left="567" w:firstLine="0"/>
        <w:jc w:val="both"/>
        <w:rPr>
          <w:color w:val="000000"/>
        </w:rPr>
      </w:pPr>
      <w:r w:rsidRPr="0029408A">
        <w:rPr>
          <w:color w:val="000000"/>
        </w:rPr>
        <w:t xml:space="preserve">profit or loss </w:t>
      </w:r>
      <w:proofErr w:type="gramStart"/>
      <w:r w:rsidRPr="0029408A">
        <w:rPr>
          <w:color w:val="000000"/>
        </w:rPr>
        <w:t>tax;</w:t>
      </w:r>
      <w:proofErr w:type="gramEnd"/>
    </w:p>
    <w:p w14:paraId="58D6FCC8" w14:textId="77777777" w:rsidR="006F6E58" w:rsidRPr="0029408A" w:rsidRDefault="006F7E50" w:rsidP="00CA736E">
      <w:pPr>
        <w:pStyle w:val="ListParagraph"/>
        <w:numPr>
          <w:ilvl w:val="1"/>
          <w:numId w:val="58"/>
        </w:numPr>
        <w:tabs>
          <w:tab w:val="left" w:pos="1134"/>
        </w:tabs>
        <w:ind w:left="567" w:firstLine="0"/>
        <w:contextualSpacing w:val="0"/>
        <w:jc w:val="both"/>
        <w:rPr>
          <w:color w:val="000000"/>
        </w:rPr>
      </w:pPr>
      <w:r w:rsidRPr="0029408A">
        <w:rPr>
          <w:color w:val="000000"/>
        </w:rPr>
        <w:t>public subsidies received.</w:t>
      </w:r>
    </w:p>
    <w:p w14:paraId="4AAC6B88" w14:textId="77777777" w:rsidR="00B53DE1" w:rsidRPr="0029408A" w:rsidRDefault="00AB1DB7" w:rsidP="00CA736E">
      <w:pPr>
        <w:pStyle w:val="tt"/>
        <w:tabs>
          <w:tab w:val="left" w:pos="1134"/>
        </w:tabs>
        <w:spacing w:before="0" w:beforeAutospacing="0" w:after="0" w:afterAutospacing="0"/>
        <w:jc w:val="both"/>
        <w:rPr>
          <w:color w:val="000000"/>
          <w:lang w:val="en-GB"/>
        </w:rPr>
      </w:pPr>
      <w:r w:rsidRPr="0029408A">
        <w:rPr>
          <w:color w:val="000000"/>
          <w:lang w:val="en-GB"/>
        </w:rPr>
        <w:t xml:space="preserve">The information provided in </w:t>
      </w:r>
      <w:r w:rsidR="00EB0B22" w:rsidRPr="0029408A">
        <w:rPr>
          <w:color w:val="000000"/>
          <w:lang w:val="en-GB"/>
        </w:rPr>
        <w:t>sub-</w:t>
      </w:r>
      <w:r w:rsidR="007D3105" w:rsidRPr="0029408A">
        <w:rPr>
          <w:color w:val="000000"/>
          <w:lang w:val="en-GB"/>
        </w:rPr>
        <w:t>point</w:t>
      </w:r>
      <w:r w:rsidRPr="0029408A">
        <w:rPr>
          <w:color w:val="000000"/>
          <w:lang w:val="en-GB"/>
        </w:rPr>
        <w:t>s 1) - 6) are subject to audit and published in accordance with Art.91 paragraph (3) of Law 202/2017</w:t>
      </w:r>
      <w:r w:rsidR="00B53DE1" w:rsidRPr="0029408A">
        <w:rPr>
          <w:color w:val="000000"/>
          <w:lang w:val="en-GB"/>
        </w:rPr>
        <w:t>.</w:t>
      </w:r>
    </w:p>
    <w:p w14:paraId="53A6294E" w14:textId="77777777" w:rsidR="004F4AF6" w:rsidRPr="0029408A" w:rsidRDefault="004F4AF6" w:rsidP="004F4AF6">
      <w:pPr>
        <w:tabs>
          <w:tab w:val="left" w:pos="1134"/>
        </w:tabs>
        <w:spacing w:after="0" w:line="240" w:lineRule="auto"/>
        <w:ind w:firstLine="720"/>
        <w:jc w:val="both"/>
        <w:rPr>
          <w:rFonts w:ascii="Times New Roman" w:eastAsia="Times New Roman" w:hAnsi="Times New Roman"/>
          <w:b/>
          <w:bCs/>
          <w:color w:val="000000"/>
          <w:sz w:val="24"/>
          <w:szCs w:val="24"/>
          <w:lang w:val="en-GB"/>
        </w:rPr>
      </w:pPr>
    </w:p>
    <w:p w14:paraId="288B7A91" w14:textId="77777777" w:rsidR="001B226E" w:rsidRPr="0029408A" w:rsidRDefault="001B226E" w:rsidP="001B226E">
      <w:pPr>
        <w:tabs>
          <w:tab w:val="left" w:pos="1134"/>
        </w:tabs>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Chapter II</w:t>
      </w:r>
    </w:p>
    <w:p w14:paraId="09E9CF5E" w14:textId="77777777" w:rsidR="004E6D8A" w:rsidRPr="0029408A" w:rsidRDefault="001B226E" w:rsidP="001B226E">
      <w:pPr>
        <w:tabs>
          <w:tab w:val="left" w:pos="1134"/>
        </w:tabs>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QUALITATIVE CHARACTERISTICS OF PUBLISHED INFORMATION</w:t>
      </w:r>
    </w:p>
    <w:p w14:paraId="69C4EF96" w14:textId="77777777" w:rsidR="004E6D8A" w:rsidRPr="0029408A" w:rsidRDefault="002F68F9" w:rsidP="00CA736E">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During the publication process, banks will comply with the following qualitative characteristics of the information:</w:t>
      </w:r>
    </w:p>
    <w:p w14:paraId="43282E4D" w14:textId="77777777" w:rsidR="004E6D8A" w:rsidRPr="0029408A" w:rsidRDefault="002F68F9" w:rsidP="00117403">
      <w:pPr>
        <w:pStyle w:val="ListParagraph"/>
        <w:numPr>
          <w:ilvl w:val="0"/>
          <w:numId w:val="15"/>
        </w:numPr>
        <w:tabs>
          <w:tab w:val="left" w:pos="851"/>
        </w:tabs>
        <w:ind w:left="567" w:firstLine="0"/>
        <w:contextualSpacing w:val="0"/>
        <w:jc w:val="both"/>
        <w:rPr>
          <w:color w:val="000000"/>
        </w:rPr>
      </w:pPr>
      <w:r w:rsidRPr="0029408A">
        <w:rPr>
          <w:color w:val="000000"/>
        </w:rPr>
        <w:t xml:space="preserve">accessible - information published through distribution channels that provide equal and timely access to </w:t>
      </w:r>
      <w:proofErr w:type="gramStart"/>
      <w:r w:rsidRPr="0029408A">
        <w:rPr>
          <w:color w:val="000000"/>
        </w:rPr>
        <w:t>it;</w:t>
      </w:r>
      <w:proofErr w:type="gramEnd"/>
    </w:p>
    <w:p w14:paraId="77850D85" w14:textId="77777777" w:rsidR="004E6D8A" w:rsidRPr="0029408A" w:rsidRDefault="002F68F9" w:rsidP="00117403">
      <w:pPr>
        <w:pStyle w:val="ListParagraph"/>
        <w:numPr>
          <w:ilvl w:val="0"/>
          <w:numId w:val="15"/>
        </w:numPr>
        <w:tabs>
          <w:tab w:val="left" w:pos="851"/>
        </w:tabs>
        <w:ind w:left="567" w:firstLine="0"/>
        <w:contextualSpacing w:val="0"/>
        <w:jc w:val="both"/>
        <w:rPr>
          <w:color w:val="000000"/>
        </w:rPr>
      </w:pPr>
      <w:r w:rsidRPr="0029408A">
        <w:rPr>
          <w:color w:val="000000"/>
        </w:rPr>
        <w:t xml:space="preserve">multilateral - information that can be evaluated starting from the activities carried </w:t>
      </w:r>
      <w:proofErr w:type="gramStart"/>
      <w:r w:rsidRPr="0029408A">
        <w:rPr>
          <w:color w:val="000000"/>
        </w:rPr>
        <w:t>out;</w:t>
      </w:r>
      <w:proofErr w:type="gramEnd"/>
    </w:p>
    <w:p w14:paraId="4664A772" w14:textId="77777777" w:rsidR="00521D0C" w:rsidRPr="0029408A" w:rsidRDefault="00C3093A" w:rsidP="00117403">
      <w:pPr>
        <w:pStyle w:val="ListParagraph"/>
        <w:numPr>
          <w:ilvl w:val="0"/>
          <w:numId w:val="15"/>
        </w:numPr>
        <w:tabs>
          <w:tab w:val="left" w:pos="851"/>
        </w:tabs>
        <w:ind w:left="567" w:firstLine="0"/>
        <w:contextualSpacing w:val="0"/>
        <w:jc w:val="both"/>
        <w:rPr>
          <w:color w:val="000000"/>
        </w:rPr>
      </w:pPr>
      <w:r w:rsidRPr="0029408A">
        <w:rPr>
          <w:color w:val="000000"/>
        </w:rPr>
        <w:t xml:space="preserve">complete - information describing the main activities and significant risks of the bank, supported by relevant basic data and </w:t>
      </w:r>
      <w:proofErr w:type="gramStart"/>
      <w:r w:rsidRPr="0029408A">
        <w:rPr>
          <w:color w:val="000000"/>
        </w:rPr>
        <w:t>information;</w:t>
      </w:r>
      <w:proofErr w:type="gramEnd"/>
    </w:p>
    <w:p w14:paraId="1E788B45" w14:textId="77777777" w:rsidR="004E6D8A" w:rsidRPr="0029408A" w:rsidRDefault="00F00EA5" w:rsidP="00117403">
      <w:pPr>
        <w:pStyle w:val="ListParagraph"/>
        <w:numPr>
          <w:ilvl w:val="0"/>
          <w:numId w:val="15"/>
        </w:numPr>
        <w:tabs>
          <w:tab w:val="left" w:pos="851"/>
        </w:tabs>
        <w:ind w:left="567" w:firstLine="0"/>
        <w:contextualSpacing w:val="0"/>
        <w:jc w:val="both"/>
        <w:rPr>
          <w:color w:val="000000"/>
        </w:rPr>
      </w:pPr>
      <w:r w:rsidRPr="0029408A">
        <w:rPr>
          <w:color w:val="000000"/>
        </w:rPr>
        <w:t xml:space="preserve">timely - timely publication of information relevant to the public in the decision-making </w:t>
      </w:r>
      <w:proofErr w:type="gramStart"/>
      <w:r w:rsidRPr="0029408A">
        <w:rPr>
          <w:color w:val="000000"/>
        </w:rPr>
        <w:t>process;</w:t>
      </w:r>
      <w:proofErr w:type="gramEnd"/>
    </w:p>
    <w:p w14:paraId="11839B27" w14:textId="77777777" w:rsidR="004E6D8A" w:rsidRPr="0029408A" w:rsidRDefault="00F00EA5" w:rsidP="00117403">
      <w:pPr>
        <w:pStyle w:val="ListParagraph"/>
        <w:numPr>
          <w:ilvl w:val="0"/>
          <w:numId w:val="15"/>
        </w:numPr>
        <w:tabs>
          <w:tab w:val="left" w:pos="851"/>
        </w:tabs>
        <w:ind w:left="567" w:firstLine="0"/>
        <w:contextualSpacing w:val="0"/>
        <w:jc w:val="both"/>
        <w:rPr>
          <w:color w:val="000000"/>
        </w:rPr>
      </w:pPr>
      <w:r w:rsidRPr="0029408A">
        <w:rPr>
          <w:color w:val="000000"/>
        </w:rPr>
        <w:t xml:space="preserve">truthful - real, verifiable, neutral and complete </w:t>
      </w:r>
      <w:proofErr w:type="gramStart"/>
      <w:r w:rsidRPr="0029408A">
        <w:rPr>
          <w:color w:val="000000"/>
        </w:rPr>
        <w:t>information;</w:t>
      </w:r>
      <w:proofErr w:type="gramEnd"/>
    </w:p>
    <w:p w14:paraId="00E3ECC8" w14:textId="77777777" w:rsidR="00801CB4" w:rsidRPr="0029408A" w:rsidRDefault="00F00EA5" w:rsidP="00117403">
      <w:pPr>
        <w:pStyle w:val="ListParagraph"/>
        <w:numPr>
          <w:ilvl w:val="0"/>
          <w:numId w:val="15"/>
        </w:numPr>
        <w:tabs>
          <w:tab w:val="left" w:pos="851"/>
        </w:tabs>
        <w:ind w:left="567" w:firstLine="0"/>
        <w:contextualSpacing w:val="0"/>
        <w:jc w:val="both"/>
        <w:rPr>
          <w:color w:val="000000"/>
        </w:rPr>
      </w:pPr>
      <w:r w:rsidRPr="0029408A">
        <w:rPr>
          <w:color w:val="000000"/>
        </w:rPr>
        <w:lastRenderedPageBreak/>
        <w:t xml:space="preserve">consistent over time - information that allows the determination of trends in the dynamics of data and other </w:t>
      </w:r>
      <w:proofErr w:type="gramStart"/>
      <w:r w:rsidRPr="0029408A">
        <w:rPr>
          <w:color w:val="000000"/>
        </w:rPr>
        <w:t>information;</w:t>
      </w:r>
      <w:proofErr w:type="gramEnd"/>
    </w:p>
    <w:p w14:paraId="42FF5E51" w14:textId="77777777" w:rsidR="00F3755A" w:rsidRPr="0029408A" w:rsidRDefault="00F00EA5" w:rsidP="00117403">
      <w:pPr>
        <w:pStyle w:val="ListParagraph"/>
        <w:numPr>
          <w:ilvl w:val="0"/>
          <w:numId w:val="15"/>
        </w:numPr>
        <w:tabs>
          <w:tab w:val="left" w:pos="851"/>
        </w:tabs>
        <w:ind w:left="567" w:firstLine="0"/>
        <w:contextualSpacing w:val="0"/>
        <w:jc w:val="both"/>
        <w:rPr>
          <w:color w:val="000000"/>
        </w:rPr>
      </w:pPr>
      <w:r w:rsidRPr="0029408A">
        <w:rPr>
          <w:color w:val="000000"/>
        </w:rPr>
        <w:t xml:space="preserve">significant - information that would exclude the omission of some essential data that could lead to the change of the evaluation and the decision of the </w:t>
      </w:r>
      <w:proofErr w:type="gramStart"/>
      <w:r w:rsidRPr="0029408A">
        <w:rPr>
          <w:color w:val="000000"/>
        </w:rPr>
        <w:t>user;</w:t>
      </w:r>
      <w:proofErr w:type="gramEnd"/>
    </w:p>
    <w:p w14:paraId="59D222F7" w14:textId="77777777" w:rsidR="004E6D8A" w:rsidRPr="0029408A" w:rsidRDefault="00F00EA5" w:rsidP="00117403">
      <w:pPr>
        <w:pStyle w:val="ListParagraph"/>
        <w:numPr>
          <w:ilvl w:val="0"/>
          <w:numId w:val="15"/>
        </w:numPr>
        <w:tabs>
          <w:tab w:val="left" w:pos="851"/>
        </w:tabs>
        <w:ind w:left="567" w:firstLine="0"/>
        <w:contextualSpacing w:val="0"/>
        <w:jc w:val="both"/>
        <w:rPr>
          <w:color w:val="000000"/>
        </w:rPr>
      </w:pPr>
      <w:r w:rsidRPr="0029408A">
        <w:rPr>
          <w:color w:val="000000"/>
        </w:rPr>
        <w:t xml:space="preserve">comparable - information that allows stakeholders to make relevant comparisons between banks, prudential indicators, bank activities, risks and their </w:t>
      </w:r>
      <w:proofErr w:type="gramStart"/>
      <w:r w:rsidRPr="0029408A">
        <w:rPr>
          <w:color w:val="000000"/>
        </w:rPr>
        <w:t>management;</w:t>
      </w:r>
      <w:proofErr w:type="gramEnd"/>
    </w:p>
    <w:p w14:paraId="6D94455B" w14:textId="77777777" w:rsidR="00CC6670" w:rsidRPr="0029408A" w:rsidRDefault="00F00EA5" w:rsidP="00117403">
      <w:pPr>
        <w:pStyle w:val="ListParagraph"/>
        <w:numPr>
          <w:ilvl w:val="0"/>
          <w:numId w:val="15"/>
        </w:numPr>
        <w:tabs>
          <w:tab w:val="left" w:pos="851"/>
        </w:tabs>
        <w:ind w:left="567" w:firstLine="0"/>
        <w:contextualSpacing w:val="0"/>
        <w:jc w:val="both"/>
        <w:rPr>
          <w:color w:val="000000"/>
        </w:rPr>
      </w:pPr>
      <w:r w:rsidRPr="0029408A">
        <w:rPr>
          <w:color w:val="000000"/>
        </w:rPr>
        <w:t>pertinent - information that reflects the economic essence of the events and transactions performed, highlights the most significant risks (current and emerging) of the bank and how to manage those risks.</w:t>
      </w:r>
    </w:p>
    <w:p w14:paraId="6C3595EA" w14:textId="77777777" w:rsidR="00724008" w:rsidRPr="0029408A" w:rsidRDefault="00A8747D" w:rsidP="00CA736E">
      <w:pPr>
        <w:pStyle w:val="tt"/>
        <w:numPr>
          <w:ilvl w:val="0"/>
          <w:numId w:val="12"/>
        </w:numPr>
        <w:tabs>
          <w:tab w:val="left" w:pos="567"/>
        </w:tabs>
        <w:spacing w:before="0" w:beforeAutospacing="0" w:after="0" w:afterAutospacing="0"/>
        <w:ind w:left="0" w:firstLine="0"/>
        <w:jc w:val="both"/>
        <w:rPr>
          <w:b/>
          <w:color w:val="000000"/>
          <w:lang w:val="en-GB"/>
        </w:rPr>
      </w:pPr>
      <w:bookmarkStart w:id="1" w:name="_Ref3376572"/>
      <w:r w:rsidRPr="0029408A">
        <w:rPr>
          <w:color w:val="000000"/>
          <w:lang w:val="en-GB"/>
        </w:rPr>
        <w:t xml:space="preserve">For the purposes of </w:t>
      </w:r>
      <w:r w:rsidR="007D3105" w:rsidRPr="0029408A">
        <w:rPr>
          <w:color w:val="000000"/>
          <w:lang w:val="en-GB"/>
        </w:rPr>
        <w:t>point</w:t>
      </w:r>
      <w:r w:rsidRPr="0029408A">
        <w:rPr>
          <w:color w:val="000000"/>
          <w:lang w:val="en-GB"/>
        </w:rPr>
        <w:t xml:space="preserve"> 5, banks shall assess the significance threshold on a regular basis, but not less than once a year. The assessment will be carried out at least:</w:t>
      </w:r>
      <w:r w:rsidR="00724008" w:rsidRPr="0029408A">
        <w:rPr>
          <w:color w:val="000000"/>
          <w:lang w:val="en-GB"/>
        </w:rPr>
        <w:t xml:space="preserve"> </w:t>
      </w:r>
      <w:bookmarkEnd w:id="1"/>
    </w:p>
    <w:p w14:paraId="5EC51489" w14:textId="77777777" w:rsidR="006F76B9" w:rsidRPr="0029408A" w:rsidRDefault="006F76B9" w:rsidP="00117403">
      <w:pPr>
        <w:pStyle w:val="ListParagraph"/>
        <w:numPr>
          <w:ilvl w:val="0"/>
          <w:numId w:val="60"/>
        </w:numPr>
        <w:tabs>
          <w:tab w:val="left" w:pos="993"/>
        </w:tabs>
        <w:ind w:left="567" w:firstLine="0"/>
        <w:jc w:val="both"/>
        <w:rPr>
          <w:color w:val="000000"/>
        </w:rPr>
      </w:pPr>
      <w:r w:rsidRPr="0029408A">
        <w:rPr>
          <w:color w:val="000000"/>
        </w:rPr>
        <w:t xml:space="preserve">for both qualitative and quantitative publication </w:t>
      </w:r>
      <w:proofErr w:type="gramStart"/>
      <w:r w:rsidRPr="0029408A">
        <w:rPr>
          <w:color w:val="000000"/>
        </w:rPr>
        <w:t>requirements;</w:t>
      </w:r>
      <w:proofErr w:type="gramEnd"/>
    </w:p>
    <w:p w14:paraId="49B1C694" w14:textId="77777777" w:rsidR="00724008" w:rsidRPr="0029408A" w:rsidRDefault="006F76B9" w:rsidP="00117403">
      <w:pPr>
        <w:pStyle w:val="ListParagraph"/>
        <w:numPr>
          <w:ilvl w:val="0"/>
          <w:numId w:val="60"/>
        </w:numPr>
        <w:tabs>
          <w:tab w:val="left" w:pos="993"/>
        </w:tabs>
        <w:ind w:left="567" w:firstLine="0"/>
        <w:contextualSpacing w:val="0"/>
        <w:jc w:val="both"/>
        <w:rPr>
          <w:rFonts w:eastAsia="Calibri"/>
          <w:color w:val="000000"/>
        </w:rPr>
      </w:pPr>
      <w:r w:rsidRPr="0029408A">
        <w:rPr>
          <w:color w:val="000000"/>
        </w:rPr>
        <w:t xml:space="preserve">at the level of an individual publication requirement, as well as cumulatively. Banks will assess whether the cumulative effect of omitting the publication of information, which is individually considered insignificant, would lead to the omission of information that could influence users' economic </w:t>
      </w:r>
      <w:proofErr w:type="gramStart"/>
      <w:r w:rsidRPr="0029408A">
        <w:rPr>
          <w:color w:val="000000"/>
        </w:rPr>
        <w:t>decisions;</w:t>
      </w:r>
      <w:proofErr w:type="gramEnd"/>
    </w:p>
    <w:p w14:paraId="441BEA71" w14:textId="77777777" w:rsidR="00724008" w:rsidRPr="0029408A" w:rsidRDefault="006F76B9" w:rsidP="00117403">
      <w:pPr>
        <w:pStyle w:val="ListParagraph"/>
        <w:numPr>
          <w:ilvl w:val="0"/>
          <w:numId w:val="60"/>
        </w:numPr>
        <w:tabs>
          <w:tab w:val="left" w:pos="993"/>
        </w:tabs>
        <w:ind w:left="567" w:firstLine="0"/>
        <w:contextualSpacing w:val="0"/>
        <w:jc w:val="both"/>
        <w:rPr>
          <w:color w:val="000000"/>
        </w:rPr>
      </w:pPr>
      <w:proofErr w:type="gramStart"/>
      <w:r w:rsidRPr="0029408A">
        <w:rPr>
          <w:color w:val="000000"/>
        </w:rPr>
        <w:t>taking into account</w:t>
      </w:r>
      <w:proofErr w:type="gramEnd"/>
      <w:r w:rsidRPr="0029408A">
        <w:rPr>
          <w:color w:val="000000"/>
        </w:rPr>
        <w:t xml:space="preserve"> the circumstances and context at the time of publication, </w:t>
      </w:r>
      <w:proofErr w:type="gramStart"/>
      <w:r w:rsidRPr="0029408A">
        <w:rPr>
          <w:color w:val="000000"/>
        </w:rPr>
        <w:t>in particular from</w:t>
      </w:r>
      <w:proofErr w:type="gramEnd"/>
      <w:r w:rsidRPr="0029408A">
        <w:rPr>
          <w:color w:val="000000"/>
        </w:rPr>
        <w:t xml:space="preserve"> the point of view of the economic and political environment, as well as dynamically in the light of evolving </w:t>
      </w:r>
      <w:proofErr w:type="gramStart"/>
      <w:r w:rsidRPr="0029408A">
        <w:rPr>
          <w:color w:val="000000"/>
        </w:rPr>
        <w:t>risks;</w:t>
      </w:r>
      <w:proofErr w:type="gramEnd"/>
    </w:p>
    <w:p w14:paraId="7DFDC03F" w14:textId="77777777" w:rsidR="00724008" w:rsidRPr="0029408A" w:rsidRDefault="006F76B9" w:rsidP="00117403">
      <w:pPr>
        <w:pStyle w:val="ListParagraph"/>
        <w:numPr>
          <w:ilvl w:val="0"/>
          <w:numId w:val="60"/>
        </w:numPr>
        <w:tabs>
          <w:tab w:val="left" w:pos="993"/>
        </w:tabs>
        <w:ind w:left="567" w:firstLine="0"/>
        <w:contextualSpacing w:val="0"/>
        <w:jc w:val="both"/>
        <w:rPr>
          <w:color w:val="000000"/>
        </w:rPr>
      </w:pPr>
      <w:r w:rsidRPr="0029408A">
        <w:rPr>
          <w:color w:val="000000"/>
        </w:rPr>
        <w:t xml:space="preserve">based on the presumed needs of the users and based on the presumed relevance of the information for the </w:t>
      </w:r>
      <w:proofErr w:type="gramStart"/>
      <w:r w:rsidRPr="0029408A">
        <w:rPr>
          <w:color w:val="000000"/>
        </w:rPr>
        <w:t>users;</w:t>
      </w:r>
      <w:proofErr w:type="gramEnd"/>
    </w:p>
    <w:p w14:paraId="0AC530DE" w14:textId="77777777" w:rsidR="00724008" w:rsidRPr="0029408A" w:rsidRDefault="006F76B9" w:rsidP="00117403">
      <w:pPr>
        <w:pStyle w:val="ListParagraph"/>
        <w:numPr>
          <w:ilvl w:val="0"/>
          <w:numId w:val="60"/>
        </w:numPr>
        <w:tabs>
          <w:tab w:val="left" w:pos="993"/>
        </w:tabs>
        <w:ind w:left="567" w:firstLine="0"/>
        <w:contextualSpacing w:val="0"/>
        <w:jc w:val="both"/>
        <w:rPr>
          <w:color w:val="000000"/>
        </w:rPr>
      </w:pPr>
      <w:r w:rsidRPr="0029408A">
        <w:rPr>
          <w:color w:val="000000"/>
        </w:rPr>
        <w:t>given the nature and specific purpose of the assessed requirements.</w:t>
      </w:r>
      <w:r w:rsidR="00724008" w:rsidRPr="0029408A">
        <w:rPr>
          <w:color w:val="000000"/>
        </w:rPr>
        <w:t xml:space="preserve"> </w:t>
      </w:r>
      <w:proofErr w:type="gramStart"/>
      <w:r w:rsidRPr="0029408A">
        <w:rPr>
          <w:color w:val="000000"/>
        </w:rPr>
        <w:t>In particular, procedures / indicators</w:t>
      </w:r>
      <w:proofErr w:type="gramEnd"/>
      <w:r w:rsidRPr="0029408A">
        <w:rPr>
          <w:color w:val="000000"/>
        </w:rPr>
        <w:t xml:space="preserve"> other than those used to determine the significance threshold of quantitative information may be required for the publication of qualitative </w:t>
      </w:r>
      <w:proofErr w:type="gramStart"/>
      <w:r w:rsidRPr="0029408A">
        <w:rPr>
          <w:color w:val="000000"/>
        </w:rPr>
        <w:t>information;</w:t>
      </w:r>
      <w:proofErr w:type="gramEnd"/>
      <w:r w:rsidR="00724008" w:rsidRPr="0029408A">
        <w:rPr>
          <w:color w:val="000000"/>
        </w:rPr>
        <w:t xml:space="preserve"> </w:t>
      </w:r>
    </w:p>
    <w:p w14:paraId="49F0716A" w14:textId="77777777" w:rsidR="00724008" w:rsidRPr="0029408A" w:rsidRDefault="005A162E" w:rsidP="00117403">
      <w:pPr>
        <w:pStyle w:val="ListParagraph"/>
        <w:numPr>
          <w:ilvl w:val="0"/>
          <w:numId w:val="60"/>
        </w:numPr>
        <w:tabs>
          <w:tab w:val="left" w:pos="993"/>
        </w:tabs>
        <w:ind w:left="567" w:firstLine="0"/>
        <w:contextualSpacing w:val="0"/>
        <w:jc w:val="both"/>
        <w:rPr>
          <w:color w:val="000000"/>
        </w:rPr>
      </w:pPr>
      <w:proofErr w:type="gramStart"/>
      <w:r w:rsidRPr="0029408A">
        <w:rPr>
          <w:color w:val="000000"/>
        </w:rPr>
        <w:t>taking into account</w:t>
      </w:r>
      <w:proofErr w:type="gramEnd"/>
      <w:r w:rsidRPr="0029408A">
        <w:rPr>
          <w:color w:val="000000"/>
        </w:rPr>
        <w:t xml:space="preserve"> the characteristics, activities, risks and risk profile specific to the </w:t>
      </w:r>
      <w:proofErr w:type="gramStart"/>
      <w:r w:rsidRPr="0029408A">
        <w:rPr>
          <w:color w:val="000000"/>
        </w:rPr>
        <w:t>bank;</w:t>
      </w:r>
      <w:proofErr w:type="gramEnd"/>
    </w:p>
    <w:p w14:paraId="283BD543" w14:textId="77777777" w:rsidR="00724008" w:rsidRPr="0029408A" w:rsidRDefault="005A162E" w:rsidP="00117403">
      <w:pPr>
        <w:pStyle w:val="ListParagraph"/>
        <w:numPr>
          <w:ilvl w:val="0"/>
          <w:numId w:val="60"/>
        </w:numPr>
        <w:tabs>
          <w:tab w:val="left" w:pos="993"/>
        </w:tabs>
        <w:ind w:left="567" w:firstLine="0"/>
        <w:contextualSpacing w:val="0"/>
        <w:jc w:val="both"/>
        <w:rPr>
          <w:color w:val="000000"/>
        </w:rPr>
      </w:pPr>
      <w:r w:rsidRPr="0029408A">
        <w:rPr>
          <w:color w:val="000000"/>
        </w:rPr>
        <w:t>depending on the quantitative and / or qualitative importance regarding the nature of a certain part of the information that may be significant in nature or size.</w:t>
      </w:r>
    </w:p>
    <w:p w14:paraId="1A713872" w14:textId="77777777" w:rsidR="00724008" w:rsidRPr="0029408A" w:rsidRDefault="00567B68" w:rsidP="00CA736E">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 xml:space="preserve">For the application of point 10, when assessing the significance of information, banks shall </w:t>
      </w:r>
      <w:proofErr w:type="gramStart"/>
      <w:r w:rsidRPr="0029408A">
        <w:rPr>
          <w:color w:val="000000"/>
          <w:lang w:val="en-GB"/>
        </w:rPr>
        <w:t>take into account</w:t>
      </w:r>
      <w:proofErr w:type="gramEnd"/>
      <w:r w:rsidRPr="0029408A">
        <w:rPr>
          <w:color w:val="000000"/>
          <w:lang w:val="en-GB"/>
        </w:rPr>
        <w:t xml:space="preserve"> the following criteria:</w:t>
      </w:r>
    </w:p>
    <w:p w14:paraId="048F1D5F" w14:textId="77777777" w:rsidR="00724008" w:rsidRPr="0029408A" w:rsidRDefault="00567B68" w:rsidP="00CA736E">
      <w:pPr>
        <w:pStyle w:val="ListParagraph"/>
        <w:numPr>
          <w:ilvl w:val="0"/>
          <w:numId w:val="16"/>
        </w:numPr>
        <w:tabs>
          <w:tab w:val="left" w:pos="567"/>
          <w:tab w:val="left" w:pos="993"/>
        </w:tabs>
        <w:ind w:left="567" w:firstLine="0"/>
        <w:contextualSpacing w:val="0"/>
        <w:jc w:val="both"/>
        <w:rPr>
          <w:color w:val="000000"/>
        </w:rPr>
      </w:pPr>
      <w:r w:rsidRPr="0029408A">
        <w:rPr>
          <w:color w:val="000000"/>
        </w:rPr>
        <w:t xml:space="preserve">their business model, based on individual indicators and long-term </w:t>
      </w:r>
      <w:proofErr w:type="gramStart"/>
      <w:r w:rsidRPr="0029408A">
        <w:rPr>
          <w:color w:val="000000"/>
        </w:rPr>
        <w:t>strategy;</w:t>
      </w:r>
      <w:proofErr w:type="gramEnd"/>
    </w:p>
    <w:p w14:paraId="01668295" w14:textId="77777777" w:rsidR="00724008" w:rsidRPr="0029408A" w:rsidRDefault="00AE78DC" w:rsidP="00CA736E">
      <w:pPr>
        <w:pStyle w:val="ListParagraph"/>
        <w:numPr>
          <w:ilvl w:val="0"/>
          <w:numId w:val="16"/>
        </w:numPr>
        <w:tabs>
          <w:tab w:val="left" w:pos="567"/>
          <w:tab w:val="left" w:pos="993"/>
        </w:tabs>
        <w:ind w:left="567" w:firstLine="0"/>
        <w:contextualSpacing w:val="0"/>
        <w:jc w:val="both"/>
        <w:rPr>
          <w:color w:val="000000"/>
        </w:rPr>
      </w:pPr>
      <w:r w:rsidRPr="0029408A">
        <w:rPr>
          <w:color w:val="000000"/>
        </w:rPr>
        <w:t xml:space="preserve">the size, expressed as a share of regulatory, financial or profitability values ​​or aggregates or as a nominal value of the information or </w:t>
      </w:r>
      <w:r w:rsidR="007D3105" w:rsidRPr="0029408A">
        <w:rPr>
          <w:color w:val="000000"/>
        </w:rPr>
        <w:t>item</w:t>
      </w:r>
      <w:r w:rsidRPr="0029408A">
        <w:rPr>
          <w:color w:val="000000"/>
        </w:rPr>
        <w:t xml:space="preserve"> (risk, exposure) to which the information relates and for which the significance threshold is </w:t>
      </w:r>
      <w:proofErr w:type="gramStart"/>
      <w:r w:rsidRPr="0029408A">
        <w:rPr>
          <w:color w:val="000000"/>
        </w:rPr>
        <w:t>assessed;</w:t>
      </w:r>
      <w:proofErr w:type="gramEnd"/>
    </w:p>
    <w:p w14:paraId="54AC4307" w14:textId="77777777" w:rsidR="00724008" w:rsidRPr="0029408A" w:rsidRDefault="00AE78DC" w:rsidP="00CA736E">
      <w:pPr>
        <w:pStyle w:val="ListParagraph"/>
        <w:numPr>
          <w:ilvl w:val="0"/>
          <w:numId w:val="16"/>
        </w:numPr>
        <w:tabs>
          <w:tab w:val="left" w:pos="567"/>
          <w:tab w:val="left" w:pos="993"/>
        </w:tabs>
        <w:ind w:left="567" w:firstLine="0"/>
        <w:contextualSpacing w:val="0"/>
        <w:jc w:val="both"/>
        <w:rPr>
          <w:color w:val="000000"/>
        </w:rPr>
      </w:pPr>
      <w:r w:rsidRPr="0029408A">
        <w:rPr>
          <w:color w:val="000000"/>
        </w:rPr>
        <w:t>the influence of the item to which the information relates on the development of total risk exposures, expressed</w:t>
      </w:r>
      <w:proofErr w:type="gramStart"/>
      <w:r w:rsidRPr="0029408A">
        <w:rPr>
          <w:color w:val="000000"/>
        </w:rPr>
        <w:t>, in particular, in</w:t>
      </w:r>
      <w:proofErr w:type="gramEnd"/>
      <w:r w:rsidRPr="0029408A">
        <w:rPr>
          <w:color w:val="000000"/>
        </w:rPr>
        <w:t xml:space="preserve"> the amounts of exposures or in the values ​​of risk-weighted assets or the bank's risk </w:t>
      </w:r>
      <w:proofErr w:type="gramStart"/>
      <w:r w:rsidRPr="0029408A">
        <w:rPr>
          <w:color w:val="000000"/>
        </w:rPr>
        <w:t>profile;</w:t>
      </w:r>
      <w:proofErr w:type="gramEnd"/>
    </w:p>
    <w:p w14:paraId="6F944686" w14:textId="77777777" w:rsidR="00724008" w:rsidRPr="0029408A" w:rsidRDefault="00F24B14" w:rsidP="00CA736E">
      <w:pPr>
        <w:pStyle w:val="ListParagraph"/>
        <w:numPr>
          <w:ilvl w:val="0"/>
          <w:numId w:val="16"/>
        </w:numPr>
        <w:tabs>
          <w:tab w:val="left" w:pos="567"/>
          <w:tab w:val="left" w:pos="993"/>
        </w:tabs>
        <w:ind w:left="567" w:firstLine="0"/>
        <w:contextualSpacing w:val="0"/>
        <w:jc w:val="both"/>
        <w:rPr>
          <w:color w:val="000000"/>
        </w:rPr>
      </w:pPr>
      <w:r w:rsidRPr="0029408A">
        <w:rPr>
          <w:color w:val="000000"/>
        </w:rPr>
        <w:t xml:space="preserve">the link between information and recent risk developments and the need to publish information, including market publication practices, as well as the relevance of the information in terms of understanding current risks, solvency and their </w:t>
      </w:r>
      <w:proofErr w:type="gramStart"/>
      <w:r w:rsidRPr="0029408A">
        <w:rPr>
          <w:color w:val="000000"/>
        </w:rPr>
        <w:t>trends;</w:t>
      </w:r>
      <w:proofErr w:type="gramEnd"/>
    </w:p>
    <w:p w14:paraId="266265F6" w14:textId="77777777" w:rsidR="00724008" w:rsidRPr="0029408A" w:rsidRDefault="00BE053D" w:rsidP="00CA736E">
      <w:pPr>
        <w:pStyle w:val="ListParagraph"/>
        <w:numPr>
          <w:ilvl w:val="0"/>
          <w:numId w:val="16"/>
        </w:numPr>
        <w:tabs>
          <w:tab w:val="left" w:pos="567"/>
          <w:tab w:val="left" w:pos="993"/>
        </w:tabs>
        <w:ind w:left="567" w:firstLine="0"/>
        <w:contextualSpacing w:val="0"/>
        <w:jc w:val="both"/>
        <w:rPr>
          <w:color w:val="000000"/>
        </w:rPr>
      </w:pPr>
      <w:r w:rsidRPr="0029408A">
        <w:rPr>
          <w:color w:val="000000"/>
        </w:rPr>
        <w:t>the amplitude of the changes on the element to which an information refers, compared to the previous year.</w:t>
      </w:r>
      <w:r w:rsidR="00724008" w:rsidRPr="0029408A">
        <w:rPr>
          <w:color w:val="000000"/>
        </w:rPr>
        <w:t xml:space="preserve"> </w:t>
      </w:r>
    </w:p>
    <w:p w14:paraId="27EE5BC5" w14:textId="77777777" w:rsidR="006673FF" w:rsidRPr="0029408A" w:rsidRDefault="006673FF" w:rsidP="006673FF">
      <w:pPr>
        <w:tabs>
          <w:tab w:val="left" w:pos="1134"/>
        </w:tabs>
        <w:jc w:val="both"/>
        <w:rPr>
          <w:color w:val="000000"/>
          <w:lang w:val="en-GB"/>
        </w:rPr>
      </w:pPr>
    </w:p>
    <w:p w14:paraId="7E436064" w14:textId="77777777" w:rsidR="00724008" w:rsidRPr="0029408A" w:rsidRDefault="00675ABD" w:rsidP="00CA736E">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Information is considered the property of a bank if its disclosure to the public would undermine the bank's competitive position. Such information includes information about products or systems whose knowledge by competitors would diminish the value of a bank's investments in those products or systems or information that relates to competitively significant operating conditions or business circumstances.</w:t>
      </w:r>
      <w:r w:rsidR="00724008" w:rsidRPr="0029408A">
        <w:rPr>
          <w:color w:val="000000"/>
          <w:lang w:val="en-GB"/>
        </w:rPr>
        <w:t xml:space="preserve"> </w:t>
      </w:r>
    </w:p>
    <w:p w14:paraId="79D5D5A2" w14:textId="77777777" w:rsidR="00724008" w:rsidRPr="0029408A" w:rsidRDefault="009A7626" w:rsidP="00CA736E">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lastRenderedPageBreak/>
        <w:t xml:space="preserve">In assessing the </w:t>
      </w:r>
      <w:r w:rsidR="00B31CAA" w:rsidRPr="0029408A">
        <w:rPr>
          <w:color w:val="000000"/>
          <w:lang w:val="en-GB"/>
        </w:rPr>
        <w:t>property</w:t>
      </w:r>
      <w:r w:rsidRPr="0029408A">
        <w:rPr>
          <w:color w:val="000000"/>
          <w:lang w:val="en-GB"/>
        </w:rPr>
        <w:t xml:space="preserve"> of information, banks will consider the following:</w:t>
      </w:r>
    </w:p>
    <w:p w14:paraId="1B71AB0E" w14:textId="77777777" w:rsidR="00724008" w:rsidRPr="0029408A" w:rsidRDefault="009A7626" w:rsidP="00CA736E">
      <w:pPr>
        <w:pStyle w:val="ListParagraph"/>
        <w:numPr>
          <w:ilvl w:val="0"/>
          <w:numId w:val="17"/>
        </w:numPr>
        <w:tabs>
          <w:tab w:val="left" w:pos="851"/>
        </w:tabs>
        <w:ind w:left="567" w:firstLine="0"/>
        <w:contextualSpacing w:val="0"/>
        <w:jc w:val="both"/>
        <w:rPr>
          <w:color w:val="000000"/>
        </w:rPr>
      </w:pPr>
      <w:r w:rsidRPr="0029408A">
        <w:rPr>
          <w:color w:val="000000"/>
        </w:rPr>
        <w:t xml:space="preserve">cases where the information is considered proprietary refers to information that is so important that its publication would significantly affect a bank's competitive </w:t>
      </w:r>
      <w:proofErr w:type="gramStart"/>
      <w:r w:rsidRPr="0029408A">
        <w:rPr>
          <w:color w:val="000000"/>
        </w:rPr>
        <w:t>position;</w:t>
      </w:r>
      <w:proofErr w:type="gramEnd"/>
    </w:p>
    <w:p w14:paraId="72BBEDA8" w14:textId="77777777" w:rsidR="00724008" w:rsidRPr="0029408A" w:rsidRDefault="009A7626" w:rsidP="00CA736E">
      <w:pPr>
        <w:pStyle w:val="ListParagraph"/>
        <w:numPr>
          <w:ilvl w:val="0"/>
          <w:numId w:val="17"/>
        </w:numPr>
        <w:tabs>
          <w:tab w:val="left" w:pos="851"/>
        </w:tabs>
        <w:ind w:left="567" w:firstLine="0"/>
        <w:contextualSpacing w:val="0"/>
        <w:jc w:val="both"/>
        <w:rPr>
          <w:color w:val="000000"/>
        </w:rPr>
      </w:pPr>
      <w:r w:rsidRPr="0029408A">
        <w:rPr>
          <w:color w:val="000000"/>
        </w:rPr>
        <w:t xml:space="preserve">the general risk of a potential decrease in competitiveness due to the publication of information will not be considered a sufficient reason to avoid publication, the specific reasoning of the bank being based on an analysis of the incidence of publishing information considered </w:t>
      </w:r>
      <w:proofErr w:type="gramStart"/>
      <w:r w:rsidRPr="0029408A">
        <w:rPr>
          <w:color w:val="000000"/>
        </w:rPr>
        <w:t>proprietary;</w:t>
      </w:r>
      <w:proofErr w:type="gramEnd"/>
    </w:p>
    <w:p w14:paraId="2E99415D" w14:textId="77777777" w:rsidR="00724008" w:rsidRPr="0029408A" w:rsidRDefault="008B20FA" w:rsidP="00CA736E">
      <w:pPr>
        <w:pStyle w:val="ListParagraph"/>
        <w:numPr>
          <w:ilvl w:val="0"/>
          <w:numId w:val="17"/>
        </w:numPr>
        <w:tabs>
          <w:tab w:val="left" w:pos="851"/>
        </w:tabs>
        <w:ind w:left="567" w:firstLine="0"/>
        <w:contextualSpacing w:val="0"/>
        <w:jc w:val="both"/>
        <w:rPr>
          <w:color w:val="000000"/>
        </w:rPr>
      </w:pPr>
      <w:r w:rsidRPr="0029408A">
        <w:rPr>
          <w:color w:val="000000"/>
        </w:rPr>
        <w:t xml:space="preserve">the derogation from the publication of information considered to be the property of the bank should not be used to avoid the publication of information that would disadvantage the bank on the market because it reflects an </w:t>
      </w:r>
      <w:proofErr w:type="spellStart"/>
      <w:r w:rsidRPr="0029408A">
        <w:rPr>
          <w:color w:val="000000"/>
        </w:rPr>
        <w:t>unfavorable</w:t>
      </w:r>
      <w:proofErr w:type="spellEnd"/>
      <w:r w:rsidRPr="0029408A">
        <w:rPr>
          <w:color w:val="000000"/>
        </w:rPr>
        <w:t xml:space="preserve"> risk </w:t>
      </w:r>
      <w:proofErr w:type="gramStart"/>
      <w:r w:rsidRPr="0029408A">
        <w:rPr>
          <w:color w:val="000000"/>
        </w:rPr>
        <w:t>profile;</w:t>
      </w:r>
      <w:proofErr w:type="gramEnd"/>
    </w:p>
    <w:p w14:paraId="486D6606" w14:textId="77777777" w:rsidR="00724008" w:rsidRPr="0029408A" w:rsidRDefault="008B20FA" w:rsidP="00CA736E">
      <w:pPr>
        <w:pStyle w:val="ListParagraph"/>
        <w:numPr>
          <w:ilvl w:val="0"/>
          <w:numId w:val="17"/>
        </w:numPr>
        <w:tabs>
          <w:tab w:val="left" w:pos="851"/>
        </w:tabs>
        <w:ind w:left="567" w:firstLine="0"/>
        <w:contextualSpacing w:val="0"/>
        <w:jc w:val="both"/>
        <w:rPr>
          <w:color w:val="000000"/>
        </w:rPr>
      </w:pPr>
      <w:r w:rsidRPr="0029408A">
        <w:rPr>
          <w:color w:val="000000"/>
        </w:rPr>
        <w:t>undermining the competitive position will be assessed from the perspective of the nature, extent and complexity of the bank's activities in the sense that the publication of this information provides an overly broad perspective on the bank's business structure.</w:t>
      </w:r>
    </w:p>
    <w:p w14:paraId="27EFDAD5" w14:textId="77777777" w:rsidR="00724008" w:rsidRPr="0029408A" w:rsidRDefault="00542426" w:rsidP="00CA736E">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Information shall be considered confidential if the bank has an obligation to customers or is in a relationship with a counterparty to maintain its confidentiality</w:t>
      </w:r>
      <w:r w:rsidR="00724008" w:rsidRPr="0029408A">
        <w:rPr>
          <w:color w:val="000000"/>
          <w:lang w:val="en-GB"/>
        </w:rPr>
        <w:t>.</w:t>
      </w:r>
    </w:p>
    <w:p w14:paraId="37AAF160" w14:textId="77777777" w:rsidR="0032620D" w:rsidRPr="0029408A" w:rsidRDefault="00542426" w:rsidP="00CA736E">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 xml:space="preserve">When assessing the confidentiality of information, banks will specifically identify and </w:t>
      </w:r>
      <w:proofErr w:type="spellStart"/>
      <w:r w:rsidRPr="0029408A">
        <w:rPr>
          <w:color w:val="000000"/>
          <w:lang w:val="en-GB"/>
        </w:rPr>
        <w:t>analyze</w:t>
      </w:r>
      <w:proofErr w:type="spellEnd"/>
      <w:r w:rsidRPr="0029408A">
        <w:rPr>
          <w:color w:val="000000"/>
          <w:lang w:val="en-GB"/>
        </w:rPr>
        <w:t xml:space="preserve"> the extent to which the publication of information would affect the rights of their customers or their counterparts or would constitute a breach of legal obligations of confidentiality. A general reference to confidentiality is not a sufficient reason to avoid publication</w:t>
      </w:r>
      <w:r w:rsidRPr="0029408A">
        <w:rPr>
          <w:b/>
          <w:color w:val="000000"/>
          <w:lang w:val="en-GB"/>
        </w:rPr>
        <w:t>.</w:t>
      </w:r>
      <w:r w:rsidR="00D77118" w:rsidRPr="0029408A" w:rsidDel="00D77118">
        <w:rPr>
          <w:b/>
          <w:color w:val="000000"/>
          <w:lang w:val="en-GB"/>
        </w:rPr>
        <w:t xml:space="preserve"> </w:t>
      </w:r>
    </w:p>
    <w:p w14:paraId="33FABB1B" w14:textId="77777777" w:rsidR="005C2269" w:rsidRPr="0029408A" w:rsidRDefault="000015E0" w:rsidP="00CA736E">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If a bank decides not to publish certain information that is considered insignificant, it will specify this in the compartment where the information should have been reflected in accordance with the Regulation.</w:t>
      </w:r>
    </w:p>
    <w:p w14:paraId="34E8BC5F" w14:textId="77777777" w:rsidR="006C5B2D" w:rsidRPr="0029408A" w:rsidRDefault="00CD215E" w:rsidP="00CA736E">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If the information is assessed as proprietary or confidential in accordance with Chapter II, the Bank shall specify the following:</w:t>
      </w:r>
    </w:p>
    <w:p w14:paraId="5F8F5FE0" w14:textId="77777777" w:rsidR="00C51C4B" w:rsidRPr="0029408A" w:rsidRDefault="00C51C4B" w:rsidP="00CA736E">
      <w:pPr>
        <w:pStyle w:val="ListParagraph"/>
        <w:numPr>
          <w:ilvl w:val="1"/>
          <w:numId w:val="20"/>
        </w:numPr>
        <w:tabs>
          <w:tab w:val="left" w:pos="993"/>
        </w:tabs>
        <w:ind w:left="567" w:firstLine="0"/>
        <w:jc w:val="both"/>
        <w:rPr>
          <w:color w:val="000000"/>
        </w:rPr>
      </w:pPr>
      <w:r w:rsidRPr="0029408A">
        <w:rPr>
          <w:color w:val="000000"/>
        </w:rPr>
        <w:t xml:space="preserve">the type of information that is considered proprietary or </w:t>
      </w:r>
      <w:proofErr w:type="gramStart"/>
      <w:r w:rsidRPr="0029408A">
        <w:rPr>
          <w:color w:val="000000"/>
        </w:rPr>
        <w:t>confidential;</w:t>
      </w:r>
      <w:proofErr w:type="gramEnd"/>
    </w:p>
    <w:p w14:paraId="1A5E0CA3" w14:textId="77777777" w:rsidR="00C51C4B" w:rsidRPr="0029408A" w:rsidRDefault="00C51C4B" w:rsidP="00CA736E">
      <w:pPr>
        <w:pStyle w:val="ListParagraph"/>
        <w:numPr>
          <w:ilvl w:val="1"/>
          <w:numId w:val="20"/>
        </w:numPr>
        <w:tabs>
          <w:tab w:val="left" w:pos="993"/>
        </w:tabs>
        <w:ind w:left="567" w:firstLine="0"/>
        <w:jc w:val="both"/>
        <w:rPr>
          <w:color w:val="000000"/>
        </w:rPr>
      </w:pPr>
      <w:r w:rsidRPr="0029408A">
        <w:rPr>
          <w:color w:val="000000"/>
        </w:rPr>
        <w:t xml:space="preserve">the justification of the information considered to be proprietary or </w:t>
      </w:r>
      <w:proofErr w:type="gramStart"/>
      <w:r w:rsidRPr="0029408A">
        <w:rPr>
          <w:color w:val="000000"/>
        </w:rPr>
        <w:t>confidential;</w:t>
      </w:r>
      <w:proofErr w:type="gramEnd"/>
    </w:p>
    <w:p w14:paraId="25179126" w14:textId="77777777" w:rsidR="006C5B2D" w:rsidRPr="0029408A" w:rsidRDefault="00C51C4B" w:rsidP="00CA736E">
      <w:pPr>
        <w:pStyle w:val="ListParagraph"/>
        <w:numPr>
          <w:ilvl w:val="1"/>
          <w:numId w:val="20"/>
        </w:numPr>
        <w:tabs>
          <w:tab w:val="left" w:pos="993"/>
        </w:tabs>
        <w:ind w:left="567" w:firstLine="0"/>
        <w:contextualSpacing w:val="0"/>
        <w:jc w:val="both"/>
        <w:rPr>
          <w:color w:val="000000"/>
        </w:rPr>
      </w:pPr>
      <w:r w:rsidRPr="0029408A">
        <w:rPr>
          <w:color w:val="000000"/>
        </w:rPr>
        <w:t xml:space="preserve">the general information about the object of the publication requirement that respects the aspects of confidentiality and </w:t>
      </w:r>
      <w:r w:rsidR="00B31CAA" w:rsidRPr="0029408A">
        <w:rPr>
          <w:color w:val="000000"/>
        </w:rPr>
        <w:t>property</w:t>
      </w:r>
      <w:r w:rsidRPr="0029408A">
        <w:rPr>
          <w:color w:val="000000"/>
        </w:rPr>
        <w:t xml:space="preserve"> (non-publication of the names of individual clients, an adequate level of aggregation).</w:t>
      </w:r>
    </w:p>
    <w:p w14:paraId="142820AB" w14:textId="77777777" w:rsidR="004F4AF6" w:rsidRPr="0029408A" w:rsidRDefault="004F4AF6" w:rsidP="004F4AF6">
      <w:pPr>
        <w:tabs>
          <w:tab w:val="left" w:pos="1134"/>
        </w:tabs>
        <w:spacing w:after="0" w:line="240" w:lineRule="auto"/>
        <w:ind w:firstLine="720"/>
        <w:jc w:val="both"/>
        <w:rPr>
          <w:rFonts w:ascii="Times New Roman" w:eastAsia="Times New Roman" w:hAnsi="Times New Roman"/>
          <w:b/>
          <w:bCs/>
          <w:color w:val="000000"/>
          <w:sz w:val="24"/>
          <w:szCs w:val="24"/>
          <w:lang w:val="en-GB"/>
        </w:rPr>
      </w:pPr>
    </w:p>
    <w:p w14:paraId="627A0CFF" w14:textId="77777777" w:rsidR="00C51C4B" w:rsidRPr="0029408A" w:rsidRDefault="00C51C4B" w:rsidP="00C51C4B">
      <w:pPr>
        <w:tabs>
          <w:tab w:val="left" w:pos="1134"/>
        </w:tabs>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CHAPTER III</w:t>
      </w:r>
    </w:p>
    <w:p w14:paraId="7F517A69" w14:textId="77777777" w:rsidR="00C51C4B" w:rsidRPr="0029408A" w:rsidRDefault="00C51C4B" w:rsidP="00C51C4B">
      <w:pPr>
        <w:tabs>
          <w:tab w:val="left" w:pos="1134"/>
        </w:tabs>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GENERAL PROVISIONS ON AUTHENTICATION AND</w:t>
      </w:r>
    </w:p>
    <w:p w14:paraId="73D1FDEF" w14:textId="77777777" w:rsidR="004E6D8A" w:rsidRPr="0029408A" w:rsidRDefault="00C51C4B" w:rsidP="00C51C4B">
      <w:pPr>
        <w:tabs>
          <w:tab w:val="left" w:pos="1134"/>
        </w:tabs>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PUBLICATION OF INFORMATION BY BANKS</w:t>
      </w:r>
    </w:p>
    <w:p w14:paraId="5A07BA53" w14:textId="77777777" w:rsidR="00352474" w:rsidRPr="0029408A" w:rsidRDefault="00352474" w:rsidP="004F4AF6">
      <w:pPr>
        <w:tabs>
          <w:tab w:val="left" w:pos="1134"/>
        </w:tabs>
        <w:spacing w:after="0" w:line="240" w:lineRule="auto"/>
        <w:ind w:firstLine="720"/>
        <w:jc w:val="both"/>
        <w:rPr>
          <w:rFonts w:ascii="Times New Roman" w:eastAsia="Times New Roman" w:hAnsi="Times New Roman"/>
          <w:b/>
          <w:bCs/>
          <w:color w:val="000000"/>
          <w:sz w:val="24"/>
          <w:szCs w:val="24"/>
          <w:lang w:val="en-GB"/>
        </w:rPr>
      </w:pPr>
    </w:p>
    <w:p w14:paraId="7583EFC5" w14:textId="77777777" w:rsidR="00761589" w:rsidRPr="0029408A" w:rsidRDefault="005D4396"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The veracity of the published information is confirmed by the chief of the executive body of the bank, unless the regulation provides otherwise. The original information is kept at the bank's headquarters (at the executor). The copies of the original information are displayed in the bank’s headquarters on the noticeboards. The signature requirement does not apply to information published on the bank's website in XLS format.</w:t>
      </w:r>
    </w:p>
    <w:p w14:paraId="61924ECD" w14:textId="77777777" w:rsidR="004E6D8A" w:rsidRPr="0029408A" w:rsidRDefault="003210D0"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The basic responsibility for the preparation and publication of information in accordance with this regulation shall be borne by the chief of the executive body of the bank. In case of publication by the bank of the distorted information and which does not correspond to the requirements of the regulation, the bank publishes a denial in this respect with the rectification of the information.</w:t>
      </w:r>
    </w:p>
    <w:p w14:paraId="44E60097" w14:textId="77777777" w:rsidR="004E6D8A" w:rsidRPr="0029408A" w:rsidRDefault="006D63C2"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Information published in accordance with this Regulation shall not be subject to audit unless otherwise provided in the Regulation. If the bank decides that this information should be audited, the audit report will also be published.</w:t>
      </w:r>
    </w:p>
    <w:p w14:paraId="46B16CD5" w14:textId="77777777" w:rsidR="004E6D8A" w:rsidRPr="0029408A" w:rsidRDefault="00240F73"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 xml:space="preserve">The publication of the information on the bank's website in accordance with this regulation shall be done in separate compartments / sub-compartments and accessible directly from the home page, in </w:t>
      </w:r>
      <w:r w:rsidRPr="0029408A">
        <w:rPr>
          <w:color w:val="000000"/>
          <w:lang w:val="en-GB"/>
        </w:rPr>
        <w:lastRenderedPageBreak/>
        <w:t>a format and language accessible to the public. The format and language corresponding to the following characteristics are considered accessible:</w:t>
      </w:r>
    </w:p>
    <w:p w14:paraId="1FA90843" w14:textId="77777777" w:rsidR="00240F73" w:rsidRPr="0029408A" w:rsidRDefault="005C506C" w:rsidP="00117403">
      <w:pPr>
        <w:pStyle w:val="ListParagraph"/>
        <w:numPr>
          <w:ilvl w:val="0"/>
          <w:numId w:val="24"/>
        </w:numPr>
        <w:tabs>
          <w:tab w:val="left" w:pos="993"/>
        </w:tabs>
        <w:ind w:left="567" w:firstLine="0"/>
        <w:jc w:val="both"/>
        <w:rPr>
          <w:color w:val="000000"/>
        </w:rPr>
      </w:pPr>
      <w:r w:rsidRPr="0029408A">
        <w:rPr>
          <w:color w:val="000000"/>
        </w:rPr>
        <w:t xml:space="preserve">  </w:t>
      </w:r>
      <w:r w:rsidR="00FF6457" w:rsidRPr="0029408A">
        <w:rPr>
          <w:color w:val="000000"/>
        </w:rPr>
        <w:t xml:space="preserve">text is coherent, concise and </w:t>
      </w:r>
      <w:proofErr w:type="gramStart"/>
      <w:r w:rsidR="00FF6457" w:rsidRPr="0029408A">
        <w:rPr>
          <w:color w:val="000000"/>
        </w:rPr>
        <w:t>readable</w:t>
      </w:r>
      <w:r w:rsidR="00240F73" w:rsidRPr="0029408A">
        <w:rPr>
          <w:color w:val="000000"/>
        </w:rPr>
        <w:t>;</w:t>
      </w:r>
      <w:proofErr w:type="gramEnd"/>
    </w:p>
    <w:p w14:paraId="32AEC6DC" w14:textId="77777777" w:rsidR="00240F73" w:rsidRPr="0029408A" w:rsidRDefault="005C506C" w:rsidP="00117403">
      <w:pPr>
        <w:pStyle w:val="ListParagraph"/>
        <w:numPr>
          <w:ilvl w:val="0"/>
          <w:numId w:val="24"/>
        </w:numPr>
        <w:tabs>
          <w:tab w:val="left" w:pos="993"/>
        </w:tabs>
        <w:ind w:left="567" w:firstLine="0"/>
        <w:jc w:val="both"/>
        <w:rPr>
          <w:color w:val="000000"/>
        </w:rPr>
      </w:pPr>
      <w:r w:rsidRPr="0029408A">
        <w:rPr>
          <w:color w:val="000000"/>
        </w:rPr>
        <w:t xml:space="preserve">  </w:t>
      </w:r>
      <w:r w:rsidR="00FF6457" w:rsidRPr="0029408A">
        <w:rPr>
          <w:color w:val="000000"/>
        </w:rPr>
        <w:t xml:space="preserve">name of category shall be sufficiently suggestive of the nature and type of information </w:t>
      </w:r>
      <w:proofErr w:type="gramStart"/>
      <w:r w:rsidR="00FF6457" w:rsidRPr="0029408A">
        <w:rPr>
          <w:color w:val="000000"/>
        </w:rPr>
        <w:t>contained;</w:t>
      </w:r>
      <w:proofErr w:type="gramEnd"/>
    </w:p>
    <w:p w14:paraId="760FBB90" w14:textId="77777777" w:rsidR="00240F73" w:rsidRPr="0029408A" w:rsidRDefault="005C506C" w:rsidP="00117403">
      <w:pPr>
        <w:pStyle w:val="ListParagraph"/>
        <w:numPr>
          <w:ilvl w:val="0"/>
          <w:numId w:val="24"/>
        </w:numPr>
        <w:tabs>
          <w:tab w:val="left" w:pos="993"/>
        </w:tabs>
        <w:ind w:left="567" w:firstLine="0"/>
        <w:jc w:val="both"/>
        <w:rPr>
          <w:color w:val="000000"/>
        </w:rPr>
      </w:pPr>
      <w:r w:rsidRPr="0029408A">
        <w:rPr>
          <w:color w:val="000000"/>
        </w:rPr>
        <w:t xml:space="preserve">  </w:t>
      </w:r>
      <w:r w:rsidR="00FF6457" w:rsidRPr="0029408A">
        <w:rPr>
          <w:color w:val="000000"/>
        </w:rPr>
        <w:t>text size, colour and contrast shall be set properly to allow for its ease reading.</w:t>
      </w:r>
    </w:p>
    <w:p w14:paraId="549B74C1" w14:textId="77777777" w:rsidR="004E6D8A" w:rsidRPr="0029408A" w:rsidRDefault="005C506C" w:rsidP="00117403">
      <w:pPr>
        <w:pStyle w:val="ListParagraph"/>
        <w:numPr>
          <w:ilvl w:val="0"/>
          <w:numId w:val="24"/>
        </w:numPr>
        <w:tabs>
          <w:tab w:val="left" w:pos="993"/>
        </w:tabs>
        <w:ind w:left="567" w:firstLine="0"/>
        <w:contextualSpacing w:val="0"/>
        <w:jc w:val="both"/>
        <w:rPr>
          <w:color w:val="000000"/>
        </w:rPr>
      </w:pPr>
      <w:r w:rsidRPr="0029408A">
        <w:rPr>
          <w:color w:val="000000"/>
        </w:rPr>
        <w:t xml:space="preserve">  </w:t>
      </w:r>
      <w:r w:rsidR="00FF6457" w:rsidRPr="0029408A">
        <w:rPr>
          <w:color w:val="000000"/>
        </w:rPr>
        <w:t>no practices are used that create a clearly psychological discomfort, which would result in imposing the reader to quit reading the respective text.</w:t>
      </w:r>
    </w:p>
    <w:p w14:paraId="6ADAEA40" w14:textId="77777777" w:rsidR="004E6D8A" w:rsidRPr="0029408A" w:rsidRDefault="00FF6457"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 xml:space="preserve">The information published on the bank's website according to chapters IV - VII will be accessible at a maximum distance of 3 clicks. At the same time, the bank will place at the higher hierarchical level of the informational structure of the web page (on the main page) the </w:t>
      </w:r>
      <w:r w:rsidR="009F44DB" w:rsidRPr="0029408A">
        <w:rPr>
          <w:color w:val="000000"/>
          <w:lang w:val="en-GB"/>
        </w:rPr>
        <w:t>"Publication of information"</w:t>
      </w:r>
      <w:r w:rsidRPr="0029408A">
        <w:rPr>
          <w:color w:val="000000"/>
          <w:lang w:val="en-GB"/>
        </w:rPr>
        <w:t xml:space="preserve"> compartment which will contain the following sub-compartments:</w:t>
      </w:r>
    </w:p>
    <w:p w14:paraId="6B5986CB" w14:textId="77777777" w:rsidR="004E6D8A" w:rsidRPr="0029408A" w:rsidRDefault="00972754" w:rsidP="00117403">
      <w:pPr>
        <w:pStyle w:val="ListParagraph"/>
        <w:numPr>
          <w:ilvl w:val="0"/>
          <w:numId w:val="25"/>
        </w:numPr>
        <w:tabs>
          <w:tab w:val="left" w:pos="851"/>
        </w:tabs>
        <w:ind w:left="567" w:firstLine="0"/>
        <w:contextualSpacing w:val="0"/>
        <w:jc w:val="both"/>
        <w:rPr>
          <w:color w:val="000000"/>
        </w:rPr>
      </w:pPr>
      <w:r w:rsidRPr="0029408A">
        <w:rPr>
          <w:color w:val="000000"/>
        </w:rPr>
        <w:t xml:space="preserve"> "Information on economic and financial activity</w:t>
      </w:r>
      <w:proofErr w:type="gramStart"/>
      <w:r w:rsidRPr="0029408A">
        <w:rPr>
          <w:color w:val="000000"/>
        </w:rPr>
        <w:t>";</w:t>
      </w:r>
      <w:proofErr w:type="gramEnd"/>
    </w:p>
    <w:p w14:paraId="6495092A" w14:textId="77777777" w:rsidR="004E6D8A" w:rsidRPr="0029408A" w:rsidRDefault="00972754" w:rsidP="00117403">
      <w:pPr>
        <w:pStyle w:val="ListParagraph"/>
        <w:numPr>
          <w:ilvl w:val="0"/>
          <w:numId w:val="25"/>
        </w:numPr>
        <w:tabs>
          <w:tab w:val="left" w:pos="851"/>
        </w:tabs>
        <w:ind w:left="567" w:firstLine="0"/>
        <w:contextualSpacing w:val="0"/>
        <w:jc w:val="both"/>
        <w:rPr>
          <w:color w:val="000000"/>
        </w:rPr>
      </w:pPr>
      <w:r w:rsidRPr="0029408A">
        <w:rPr>
          <w:color w:val="000000"/>
        </w:rPr>
        <w:t xml:space="preserve"> "Information on the provision of services and the provision of banking products</w:t>
      </w:r>
      <w:proofErr w:type="gramStart"/>
      <w:r w:rsidRPr="0029408A">
        <w:rPr>
          <w:color w:val="000000"/>
        </w:rPr>
        <w:t>";</w:t>
      </w:r>
      <w:proofErr w:type="gramEnd"/>
    </w:p>
    <w:p w14:paraId="448D6DFE" w14:textId="77777777" w:rsidR="00917C93" w:rsidRPr="0029408A" w:rsidRDefault="00972754" w:rsidP="00117403">
      <w:pPr>
        <w:pStyle w:val="ListParagraph"/>
        <w:numPr>
          <w:ilvl w:val="0"/>
          <w:numId w:val="25"/>
        </w:numPr>
        <w:tabs>
          <w:tab w:val="left" w:pos="851"/>
        </w:tabs>
        <w:ind w:left="567" w:firstLine="0"/>
        <w:contextualSpacing w:val="0"/>
        <w:jc w:val="both"/>
        <w:rPr>
          <w:color w:val="000000"/>
        </w:rPr>
      </w:pPr>
      <w:r w:rsidRPr="0029408A">
        <w:rPr>
          <w:color w:val="000000"/>
        </w:rPr>
        <w:t xml:space="preserve"> "Information on bank governance</w:t>
      </w:r>
      <w:proofErr w:type="gramStart"/>
      <w:r w:rsidRPr="0029408A">
        <w:rPr>
          <w:color w:val="000000"/>
        </w:rPr>
        <w:t>";</w:t>
      </w:r>
      <w:proofErr w:type="gramEnd"/>
    </w:p>
    <w:p w14:paraId="00C18C08" w14:textId="77777777" w:rsidR="004E6D8A" w:rsidRPr="0029408A" w:rsidRDefault="00C75FA0" w:rsidP="00117403">
      <w:pPr>
        <w:pStyle w:val="ListParagraph"/>
        <w:numPr>
          <w:ilvl w:val="0"/>
          <w:numId w:val="25"/>
        </w:numPr>
        <w:tabs>
          <w:tab w:val="left" w:pos="851"/>
        </w:tabs>
        <w:ind w:left="567" w:firstLine="0"/>
        <w:contextualSpacing w:val="0"/>
        <w:jc w:val="both"/>
        <w:rPr>
          <w:color w:val="000000"/>
        </w:rPr>
      </w:pPr>
      <w:r w:rsidRPr="0029408A">
        <w:rPr>
          <w:bCs/>
          <w:color w:val="000000"/>
        </w:rPr>
        <w:t xml:space="preserve"> "Information on the management framework, own funds and capital requirements, capital buffers".</w:t>
      </w:r>
    </w:p>
    <w:p w14:paraId="1C25D1D2" w14:textId="77777777" w:rsidR="004E6D8A" w:rsidRPr="0029408A" w:rsidRDefault="00982A8C" w:rsidP="00117403">
      <w:pPr>
        <w:tabs>
          <w:tab w:val="left" w:pos="567"/>
        </w:tabs>
        <w:spacing w:after="0" w:line="240" w:lineRule="auto"/>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The sub-compartment "Information on economic and financial activity" will include the reports provided for in </w:t>
      </w:r>
      <w:r w:rsidR="007D3105" w:rsidRPr="0029408A">
        <w:rPr>
          <w:rFonts w:ascii="Times New Roman" w:eastAsia="Times New Roman" w:hAnsi="Times New Roman"/>
          <w:color w:val="000000"/>
          <w:sz w:val="24"/>
          <w:szCs w:val="24"/>
          <w:lang w:val="en-GB"/>
        </w:rPr>
        <w:t>point</w:t>
      </w:r>
      <w:r w:rsidRPr="0029408A">
        <w:rPr>
          <w:rFonts w:ascii="Times New Roman" w:eastAsia="Times New Roman" w:hAnsi="Times New Roman"/>
          <w:color w:val="000000"/>
          <w:sz w:val="24"/>
          <w:szCs w:val="24"/>
          <w:lang w:val="en-GB"/>
        </w:rPr>
        <w:t xml:space="preserve"> 25, grouped by year and month, in XLS format, and the information provided in sub-</w:t>
      </w:r>
      <w:r w:rsidR="007D3105" w:rsidRPr="0029408A">
        <w:rPr>
          <w:rFonts w:ascii="Times New Roman" w:eastAsia="Times New Roman" w:hAnsi="Times New Roman"/>
          <w:color w:val="000000"/>
          <w:sz w:val="24"/>
          <w:szCs w:val="24"/>
          <w:lang w:val="en-GB"/>
        </w:rPr>
        <w:t>point</w:t>
      </w:r>
      <w:r w:rsidRPr="0029408A">
        <w:rPr>
          <w:rFonts w:ascii="Times New Roman" w:eastAsia="Times New Roman" w:hAnsi="Times New Roman"/>
          <w:color w:val="000000"/>
          <w:sz w:val="24"/>
          <w:szCs w:val="24"/>
          <w:lang w:val="en-GB"/>
        </w:rPr>
        <w:t xml:space="preserve"> 4) of this </w:t>
      </w:r>
      <w:r w:rsidR="007D3105" w:rsidRPr="0029408A">
        <w:rPr>
          <w:rFonts w:ascii="Times New Roman" w:eastAsia="Times New Roman" w:hAnsi="Times New Roman"/>
          <w:color w:val="000000"/>
          <w:sz w:val="24"/>
          <w:szCs w:val="24"/>
          <w:lang w:val="en-GB"/>
        </w:rPr>
        <w:t>point</w:t>
      </w:r>
      <w:r w:rsidRPr="0029408A">
        <w:rPr>
          <w:rFonts w:ascii="Times New Roman" w:eastAsia="Times New Roman" w:hAnsi="Times New Roman"/>
          <w:color w:val="000000"/>
          <w:sz w:val="24"/>
          <w:szCs w:val="24"/>
          <w:lang w:val="en-GB"/>
        </w:rPr>
        <w:t xml:space="preserve"> and in </w:t>
      </w:r>
      <w:r w:rsidR="007D3105" w:rsidRPr="0029408A">
        <w:rPr>
          <w:rFonts w:ascii="Times New Roman" w:eastAsia="Times New Roman" w:hAnsi="Times New Roman"/>
          <w:color w:val="000000"/>
          <w:sz w:val="24"/>
          <w:szCs w:val="24"/>
          <w:lang w:val="en-GB"/>
        </w:rPr>
        <w:t>point</w:t>
      </w:r>
      <w:r w:rsidRPr="0029408A">
        <w:rPr>
          <w:rFonts w:ascii="Times New Roman" w:eastAsia="Times New Roman" w:hAnsi="Times New Roman"/>
          <w:color w:val="000000"/>
          <w:sz w:val="24"/>
          <w:szCs w:val="24"/>
          <w:lang w:val="en-GB"/>
        </w:rPr>
        <w:t xml:space="preserve"> 26 - grouped by year in PDF format. The sub-compartment "Information on the provision of services and the provision of banking products" shall include in XLS format the information referred to in </w:t>
      </w:r>
      <w:r w:rsidR="007D3105" w:rsidRPr="0029408A">
        <w:rPr>
          <w:rFonts w:ascii="Times New Roman" w:eastAsia="Times New Roman" w:hAnsi="Times New Roman"/>
          <w:color w:val="000000"/>
          <w:sz w:val="24"/>
          <w:szCs w:val="24"/>
          <w:lang w:val="en-GB"/>
        </w:rPr>
        <w:t>point</w:t>
      </w:r>
      <w:r w:rsidRPr="0029408A">
        <w:rPr>
          <w:rFonts w:ascii="Times New Roman" w:eastAsia="Times New Roman" w:hAnsi="Times New Roman"/>
          <w:color w:val="000000"/>
          <w:sz w:val="24"/>
          <w:szCs w:val="24"/>
          <w:lang w:val="en-GB"/>
        </w:rPr>
        <w:t xml:space="preserve"> 30 sub-</w:t>
      </w:r>
      <w:r w:rsidR="007D3105" w:rsidRPr="0029408A">
        <w:rPr>
          <w:rFonts w:ascii="Times New Roman" w:eastAsia="Times New Roman" w:hAnsi="Times New Roman"/>
          <w:color w:val="000000"/>
          <w:sz w:val="24"/>
          <w:szCs w:val="24"/>
          <w:lang w:val="en-GB"/>
        </w:rPr>
        <w:t>point</w:t>
      </w:r>
      <w:r w:rsidRPr="0029408A">
        <w:rPr>
          <w:rFonts w:ascii="Times New Roman" w:eastAsia="Times New Roman" w:hAnsi="Times New Roman"/>
          <w:color w:val="000000"/>
          <w:sz w:val="24"/>
          <w:szCs w:val="24"/>
          <w:lang w:val="en-GB"/>
        </w:rPr>
        <w:t xml:space="preserve"> (2) and </w:t>
      </w:r>
      <w:r w:rsidR="007D3105" w:rsidRPr="0029408A">
        <w:rPr>
          <w:rFonts w:ascii="Times New Roman" w:eastAsia="Times New Roman" w:hAnsi="Times New Roman"/>
          <w:color w:val="000000"/>
          <w:sz w:val="24"/>
          <w:szCs w:val="24"/>
          <w:lang w:val="en-GB"/>
        </w:rPr>
        <w:t>point</w:t>
      </w:r>
      <w:r w:rsidRPr="0029408A">
        <w:rPr>
          <w:rFonts w:ascii="Times New Roman" w:eastAsia="Times New Roman" w:hAnsi="Times New Roman"/>
          <w:color w:val="000000"/>
          <w:sz w:val="24"/>
          <w:szCs w:val="24"/>
          <w:lang w:val="en-GB"/>
        </w:rPr>
        <w:t xml:space="preserve"> 31 sub-</w:t>
      </w:r>
      <w:r w:rsidR="007D3105" w:rsidRPr="0029408A">
        <w:rPr>
          <w:rFonts w:ascii="Times New Roman" w:eastAsia="Times New Roman" w:hAnsi="Times New Roman"/>
          <w:color w:val="000000"/>
          <w:sz w:val="24"/>
          <w:szCs w:val="24"/>
          <w:lang w:val="en-GB"/>
        </w:rPr>
        <w:t>point</w:t>
      </w:r>
      <w:r w:rsidRPr="0029408A">
        <w:rPr>
          <w:rFonts w:ascii="Times New Roman" w:eastAsia="Times New Roman" w:hAnsi="Times New Roman"/>
          <w:color w:val="000000"/>
          <w:sz w:val="24"/>
          <w:szCs w:val="24"/>
          <w:lang w:val="en-GB"/>
        </w:rPr>
        <w:t xml:space="preserve"> (2).</w:t>
      </w:r>
    </w:p>
    <w:p w14:paraId="71EF20A1" w14:textId="77777777" w:rsidR="004E6D8A" w:rsidRPr="0029408A" w:rsidRDefault="00160D79"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The materials placed on the bank's website will be the information generated by the bank. In case of publication of information from external sources, a note referring to the original source shall be indicated.</w:t>
      </w:r>
    </w:p>
    <w:p w14:paraId="7DC3C6CB" w14:textId="77777777" w:rsidR="004F4AF6" w:rsidRPr="0029408A" w:rsidRDefault="004E6D8A" w:rsidP="004F4AF6">
      <w:pPr>
        <w:tabs>
          <w:tab w:val="left" w:pos="1134"/>
        </w:tabs>
        <w:spacing w:after="0" w:line="240" w:lineRule="auto"/>
        <w:ind w:firstLine="720"/>
        <w:jc w:val="both"/>
        <w:rPr>
          <w:rFonts w:ascii="Times New Roman" w:eastAsia="Times New Roman" w:hAnsi="Times New Roman"/>
          <w:b/>
          <w:bCs/>
          <w:color w:val="000000"/>
          <w:sz w:val="24"/>
          <w:szCs w:val="24"/>
          <w:lang w:val="en-GB"/>
        </w:rPr>
      </w:pPr>
      <w:r w:rsidRPr="0029408A">
        <w:rPr>
          <w:rFonts w:ascii="Times New Roman" w:eastAsia="Times New Roman" w:hAnsi="Times New Roman"/>
          <w:color w:val="000000"/>
          <w:sz w:val="24"/>
          <w:szCs w:val="24"/>
          <w:lang w:val="en-GB"/>
        </w:rPr>
        <w:t> </w:t>
      </w:r>
    </w:p>
    <w:p w14:paraId="5AAE5D8B" w14:textId="77777777" w:rsidR="00E97DC7" w:rsidRPr="0029408A" w:rsidRDefault="00E97DC7" w:rsidP="00E97DC7">
      <w:pPr>
        <w:tabs>
          <w:tab w:val="left" w:pos="1134"/>
        </w:tabs>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Chapter IV</w:t>
      </w:r>
    </w:p>
    <w:p w14:paraId="6E478AD0" w14:textId="77777777" w:rsidR="004E6D8A" w:rsidRPr="0029408A" w:rsidRDefault="00E97DC7" w:rsidP="00E97DC7">
      <w:pPr>
        <w:tabs>
          <w:tab w:val="left" w:pos="1134"/>
        </w:tabs>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PUBLICATION OF INFORMATION ON ECONOMIC AND FINANCIAL ACTIVITY</w:t>
      </w:r>
    </w:p>
    <w:p w14:paraId="49A54E4A" w14:textId="77777777" w:rsidR="004E6D8A" w:rsidRPr="0029408A" w:rsidRDefault="00933DA8"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 xml:space="preserve">The bank shall publish on the bank's website and display on the noticeboards of the bank offices, on a monthly basis, the information referred to in </w:t>
      </w:r>
      <w:r w:rsidR="007D3105" w:rsidRPr="0029408A">
        <w:rPr>
          <w:color w:val="000000"/>
          <w:lang w:val="en-GB"/>
        </w:rPr>
        <w:t>point</w:t>
      </w:r>
      <w:r w:rsidRPr="0029408A">
        <w:rPr>
          <w:color w:val="000000"/>
          <w:lang w:val="en-GB"/>
        </w:rPr>
        <w:t xml:space="preserve"> 25. That information shall be kept on the bank's website for at least the last three years. If the bank, in accordance with its internal regulations, also publishes that information in national newspapers or other media, the respective media shall be specified on the bank's noticeboards and website.</w:t>
      </w:r>
    </w:p>
    <w:p w14:paraId="65B9491E" w14:textId="77777777" w:rsidR="004E6D8A" w:rsidRPr="0029408A" w:rsidRDefault="00330710"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The information on the economic and financial activity, which reflects the financial position of the bank at the end of the operational day of the management month, includes:</w:t>
      </w:r>
    </w:p>
    <w:p w14:paraId="1036F4BE"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1) </w:t>
      </w:r>
      <w:r w:rsidR="009B22DC" w:rsidRPr="0029408A">
        <w:rPr>
          <w:rFonts w:ascii="Times New Roman" w:eastAsia="Times New Roman" w:hAnsi="Times New Roman"/>
          <w:color w:val="000000"/>
          <w:sz w:val="24"/>
          <w:szCs w:val="24"/>
          <w:lang w:val="en-GB"/>
        </w:rPr>
        <w:t>F 01.00 - Balance sheet [STATEMENT OF FINANCIAL POSITION], F 02.00 - Profit or loss account (prepared in accordance with the Instruction on the preparation and presentation by banks of FINREP reports at individual level, approved by the Decision of the Executive Board of the National Bank of Moldova No 42/2018</w:t>
      </w:r>
      <w:proofErr w:type="gramStart"/>
      <w:r w:rsidR="009B22DC" w:rsidRPr="0029408A">
        <w:rPr>
          <w:rFonts w:ascii="Times New Roman" w:eastAsia="Times New Roman" w:hAnsi="Times New Roman"/>
          <w:color w:val="000000"/>
          <w:sz w:val="24"/>
          <w:szCs w:val="24"/>
          <w:lang w:val="en-GB"/>
        </w:rPr>
        <w:t>);</w:t>
      </w:r>
      <w:proofErr w:type="gramEnd"/>
    </w:p>
    <w:p w14:paraId="2757E5A1"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2) </w:t>
      </w:r>
      <w:r w:rsidR="00882A82" w:rsidRPr="0029408A">
        <w:rPr>
          <w:rFonts w:ascii="Times New Roman" w:eastAsia="Times New Roman" w:hAnsi="Times New Roman"/>
          <w:color w:val="000000"/>
          <w:sz w:val="24"/>
          <w:szCs w:val="24"/>
          <w:lang w:val="en-GB"/>
        </w:rPr>
        <w:t>indicators relating to the economic and financial situation of the bank, according to Annex no.1 of this Regulation, which shall include, but not be limited to:</w:t>
      </w:r>
    </w:p>
    <w:p w14:paraId="72112BB3"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a) </w:t>
      </w:r>
      <w:r w:rsidR="00882A82" w:rsidRPr="0029408A">
        <w:rPr>
          <w:rFonts w:ascii="Times New Roman" w:eastAsia="Times New Roman" w:hAnsi="Times New Roman"/>
          <w:color w:val="000000"/>
          <w:sz w:val="24"/>
          <w:szCs w:val="24"/>
          <w:lang w:val="en-GB"/>
        </w:rPr>
        <w:t xml:space="preserve">indicators of </w:t>
      </w:r>
      <w:proofErr w:type="gramStart"/>
      <w:r w:rsidR="00882A82" w:rsidRPr="0029408A">
        <w:rPr>
          <w:rFonts w:ascii="Times New Roman" w:eastAsia="Times New Roman" w:hAnsi="Times New Roman"/>
          <w:color w:val="000000"/>
          <w:sz w:val="24"/>
          <w:szCs w:val="24"/>
          <w:lang w:val="en-GB"/>
        </w:rPr>
        <w:t>capital;</w:t>
      </w:r>
      <w:proofErr w:type="gramEnd"/>
    </w:p>
    <w:p w14:paraId="17C6668B"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b) </w:t>
      </w:r>
      <w:r w:rsidR="00882A82" w:rsidRPr="0029408A">
        <w:rPr>
          <w:rFonts w:ascii="Times New Roman" w:eastAsia="Times New Roman" w:hAnsi="Times New Roman"/>
          <w:color w:val="000000"/>
          <w:sz w:val="24"/>
          <w:szCs w:val="24"/>
          <w:lang w:val="en-GB"/>
        </w:rPr>
        <w:t xml:space="preserve">indicators of </w:t>
      </w:r>
      <w:proofErr w:type="gramStart"/>
      <w:r w:rsidR="00882A82" w:rsidRPr="0029408A">
        <w:rPr>
          <w:rFonts w:ascii="Times New Roman" w:eastAsia="Times New Roman" w:hAnsi="Times New Roman"/>
          <w:color w:val="000000"/>
          <w:sz w:val="24"/>
          <w:szCs w:val="24"/>
          <w:lang w:val="en-GB"/>
        </w:rPr>
        <w:t>assets;</w:t>
      </w:r>
      <w:proofErr w:type="gramEnd"/>
    </w:p>
    <w:p w14:paraId="3158A75B"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c) </w:t>
      </w:r>
      <w:r w:rsidR="00882A82" w:rsidRPr="0029408A">
        <w:rPr>
          <w:rFonts w:ascii="Times New Roman" w:eastAsia="Times New Roman" w:hAnsi="Times New Roman"/>
          <w:color w:val="000000"/>
          <w:sz w:val="24"/>
          <w:szCs w:val="24"/>
          <w:lang w:val="en-GB"/>
        </w:rPr>
        <w:t xml:space="preserve">indicators of income and </w:t>
      </w:r>
      <w:proofErr w:type="gramStart"/>
      <w:r w:rsidR="00882A82" w:rsidRPr="0029408A">
        <w:rPr>
          <w:rFonts w:ascii="Times New Roman" w:eastAsia="Times New Roman" w:hAnsi="Times New Roman"/>
          <w:color w:val="000000"/>
          <w:sz w:val="24"/>
          <w:szCs w:val="24"/>
          <w:lang w:val="en-GB"/>
        </w:rPr>
        <w:t>profitability;</w:t>
      </w:r>
      <w:proofErr w:type="gramEnd"/>
    </w:p>
    <w:p w14:paraId="31192520"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d)</w:t>
      </w:r>
      <w:r w:rsidR="007A2250" w:rsidRPr="00BF366B">
        <w:rPr>
          <w:sz w:val="24"/>
          <w:szCs w:val="24"/>
          <w:lang w:eastAsia="ro-MD"/>
        </w:rPr>
        <w:t xml:space="preserve"> </w:t>
      </w:r>
      <w:r w:rsidR="007A2250" w:rsidRPr="0095633E">
        <w:rPr>
          <w:rFonts w:ascii="Times New Roman" w:eastAsia="Times New Roman" w:hAnsi="Times New Roman"/>
          <w:color w:val="000000"/>
          <w:sz w:val="24"/>
          <w:szCs w:val="24"/>
          <w:lang w:val="en-GB"/>
        </w:rPr>
        <w:t xml:space="preserve">liquidity </w:t>
      </w:r>
      <w:proofErr w:type="gramStart"/>
      <w:r w:rsidR="007A2250" w:rsidRPr="0095633E">
        <w:rPr>
          <w:rFonts w:ascii="Times New Roman" w:eastAsia="Times New Roman" w:hAnsi="Times New Roman"/>
          <w:color w:val="000000"/>
          <w:sz w:val="24"/>
          <w:szCs w:val="24"/>
          <w:lang w:val="en-GB"/>
        </w:rPr>
        <w:t>indicators;</w:t>
      </w:r>
      <w:proofErr w:type="gramEnd"/>
    </w:p>
    <w:p w14:paraId="2CB21903"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e) </w:t>
      </w:r>
      <w:r w:rsidR="00E6321A" w:rsidRPr="0029408A">
        <w:rPr>
          <w:rFonts w:ascii="Times New Roman" w:eastAsia="Times New Roman" w:hAnsi="Times New Roman"/>
          <w:color w:val="000000"/>
          <w:sz w:val="24"/>
          <w:szCs w:val="24"/>
          <w:lang w:val="en-GB"/>
        </w:rPr>
        <w:t xml:space="preserve">indicators of sensitivity of market </w:t>
      </w:r>
      <w:proofErr w:type="gramStart"/>
      <w:r w:rsidR="00E6321A" w:rsidRPr="0029408A">
        <w:rPr>
          <w:rFonts w:ascii="Times New Roman" w:eastAsia="Times New Roman" w:hAnsi="Times New Roman"/>
          <w:color w:val="000000"/>
          <w:sz w:val="24"/>
          <w:szCs w:val="24"/>
          <w:lang w:val="en-GB"/>
        </w:rPr>
        <w:t>risk;</w:t>
      </w:r>
      <w:proofErr w:type="gramEnd"/>
    </w:p>
    <w:p w14:paraId="47766081" w14:textId="77777777" w:rsidR="00023219"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f</w:t>
      </w:r>
      <w:r w:rsidR="00023219" w:rsidRPr="0029408A">
        <w:rPr>
          <w:rFonts w:ascii="Times New Roman" w:eastAsia="Times New Roman" w:hAnsi="Times New Roman"/>
          <w:color w:val="000000"/>
          <w:sz w:val="24"/>
          <w:szCs w:val="24"/>
          <w:lang w:val="en-GB"/>
        </w:rPr>
        <w:t xml:space="preserve">) </w:t>
      </w:r>
      <w:r w:rsidR="00E6321A" w:rsidRPr="0029408A">
        <w:rPr>
          <w:rFonts w:ascii="Times New Roman" w:eastAsia="Times New Roman" w:hAnsi="Times New Roman"/>
          <w:color w:val="000000"/>
          <w:sz w:val="24"/>
          <w:szCs w:val="24"/>
          <w:lang w:val="en-GB"/>
        </w:rPr>
        <w:t xml:space="preserve">indicators related to the dominant position on the banking </w:t>
      </w:r>
      <w:proofErr w:type="gramStart"/>
      <w:r w:rsidR="00E6321A" w:rsidRPr="0029408A">
        <w:rPr>
          <w:rFonts w:ascii="Times New Roman" w:eastAsia="Times New Roman" w:hAnsi="Times New Roman"/>
          <w:color w:val="000000"/>
          <w:sz w:val="24"/>
          <w:szCs w:val="24"/>
          <w:lang w:val="en-GB"/>
        </w:rPr>
        <w:t>market;</w:t>
      </w:r>
      <w:proofErr w:type="gramEnd"/>
    </w:p>
    <w:p w14:paraId="23611B98" w14:textId="77777777" w:rsidR="004E6D8A" w:rsidRPr="0029408A" w:rsidRDefault="00023219"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g) </w:t>
      </w:r>
      <w:r w:rsidR="00E6321A" w:rsidRPr="0029408A">
        <w:rPr>
          <w:rFonts w:ascii="Times New Roman" w:eastAsia="Times New Roman" w:hAnsi="Times New Roman"/>
          <w:color w:val="000000"/>
          <w:sz w:val="24"/>
          <w:szCs w:val="24"/>
          <w:lang w:val="en-GB"/>
        </w:rPr>
        <w:t xml:space="preserve">general </w:t>
      </w:r>
      <w:proofErr w:type="gramStart"/>
      <w:r w:rsidR="00E6321A" w:rsidRPr="0029408A">
        <w:rPr>
          <w:rFonts w:ascii="Times New Roman" w:eastAsia="Times New Roman" w:hAnsi="Times New Roman"/>
          <w:color w:val="000000"/>
          <w:sz w:val="24"/>
          <w:szCs w:val="24"/>
          <w:lang w:val="en-GB"/>
        </w:rPr>
        <w:t>data;</w:t>
      </w:r>
      <w:proofErr w:type="gramEnd"/>
    </w:p>
    <w:p w14:paraId="5F6C4AD1"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lastRenderedPageBreak/>
        <w:t xml:space="preserve">3) </w:t>
      </w:r>
      <w:r w:rsidR="00A86D2D" w:rsidRPr="0029408A">
        <w:rPr>
          <w:rFonts w:ascii="Times New Roman" w:eastAsia="Times New Roman" w:hAnsi="Times New Roman"/>
          <w:color w:val="000000"/>
          <w:sz w:val="24"/>
          <w:szCs w:val="24"/>
          <w:lang w:val="en-GB"/>
        </w:rPr>
        <w:t>information on credits, according to Annex no.2 to this Regulation, which shall include, but not be limited to:</w:t>
      </w:r>
    </w:p>
    <w:p w14:paraId="587F2165"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a) </w:t>
      </w:r>
      <w:r w:rsidR="00A86D2D" w:rsidRPr="0029408A">
        <w:rPr>
          <w:rFonts w:ascii="Times New Roman" w:eastAsia="Times New Roman" w:hAnsi="Times New Roman"/>
          <w:color w:val="000000"/>
          <w:sz w:val="24"/>
          <w:szCs w:val="24"/>
          <w:lang w:val="en-GB"/>
        </w:rPr>
        <w:t xml:space="preserve">credit </w:t>
      </w:r>
      <w:proofErr w:type="gramStart"/>
      <w:r w:rsidR="00A86D2D" w:rsidRPr="0029408A">
        <w:rPr>
          <w:rFonts w:ascii="Times New Roman" w:eastAsia="Times New Roman" w:hAnsi="Times New Roman"/>
          <w:color w:val="000000"/>
          <w:sz w:val="24"/>
          <w:szCs w:val="24"/>
          <w:lang w:val="en-GB"/>
        </w:rPr>
        <w:t>industry</w:t>
      </w:r>
      <w:r w:rsidRPr="0029408A">
        <w:rPr>
          <w:rFonts w:ascii="Times New Roman" w:eastAsia="Times New Roman" w:hAnsi="Times New Roman"/>
          <w:color w:val="000000"/>
          <w:sz w:val="24"/>
          <w:szCs w:val="24"/>
          <w:lang w:val="en-GB"/>
        </w:rPr>
        <w:t>;</w:t>
      </w:r>
      <w:proofErr w:type="gramEnd"/>
    </w:p>
    <w:p w14:paraId="203107FE"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b) </w:t>
      </w:r>
      <w:r w:rsidR="009E065B" w:rsidRPr="0029408A">
        <w:rPr>
          <w:rFonts w:ascii="Times New Roman" w:eastAsia="Times New Roman" w:hAnsi="Times New Roman"/>
          <w:color w:val="000000"/>
          <w:sz w:val="24"/>
          <w:szCs w:val="24"/>
          <w:lang w:val="en-GB"/>
        </w:rPr>
        <w:t xml:space="preserve">number of credits granted during the reporting month in Moldovan Lei and foreign </w:t>
      </w:r>
      <w:proofErr w:type="gramStart"/>
      <w:r w:rsidR="009E065B" w:rsidRPr="0029408A">
        <w:rPr>
          <w:rFonts w:ascii="Times New Roman" w:eastAsia="Times New Roman" w:hAnsi="Times New Roman"/>
          <w:color w:val="000000"/>
          <w:sz w:val="24"/>
          <w:szCs w:val="24"/>
          <w:lang w:val="en-GB"/>
        </w:rPr>
        <w:t>currency;</w:t>
      </w:r>
      <w:proofErr w:type="gramEnd"/>
    </w:p>
    <w:p w14:paraId="140C6F1F"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c) </w:t>
      </w:r>
      <w:r w:rsidR="009E065B" w:rsidRPr="0029408A">
        <w:rPr>
          <w:rFonts w:ascii="Times New Roman" w:eastAsia="Times New Roman" w:hAnsi="Times New Roman"/>
          <w:color w:val="000000"/>
          <w:sz w:val="24"/>
          <w:szCs w:val="24"/>
          <w:lang w:val="en-GB"/>
        </w:rPr>
        <w:t xml:space="preserve">credit portfolio balance granted in Moldovan Lei and foreign </w:t>
      </w:r>
      <w:proofErr w:type="gramStart"/>
      <w:r w:rsidR="009E065B" w:rsidRPr="0029408A">
        <w:rPr>
          <w:rFonts w:ascii="Times New Roman" w:eastAsia="Times New Roman" w:hAnsi="Times New Roman"/>
          <w:color w:val="000000"/>
          <w:sz w:val="24"/>
          <w:szCs w:val="24"/>
          <w:lang w:val="en-GB"/>
        </w:rPr>
        <w:t>currency;</w:t>
      </w:r>
      <w:proofErr w:type="gramEnd"/>
    </w:p>
    <w:p w14:paraId="3C0FB58E"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d) </w:t>
      </w:r>
      <w:r w:rsidR="00FF6E18" w:rsidRPr="0029408A">
        <w:rPr>
          <w:rFonts w:ascii="Times New Roman" w:eastAsia="Times New Roman" w:hAnsi="Times New Roman"/>
          <w:color w:val="000000"/>
          <w:sz w:val="24"/>
          <w:szCs w:val="24"/>
          <w:lang w:val="en-GB"/>
        </w:rPr>
        <w:t>average interest rate of credits granted in Moldovan Lei and foreign currency.</w:t>
      </w:r>
    </w:p>
    <w:p w14:paraId="41B4D264" w14:textId="77777777" w:rsidR="004E6D8A" w:rsidRPr="0029408A" w:rsidRDefault="006469DF"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Credit industry shall be determined </w:t>
      </w:r>
      <w:proofErr w:type="gramStart"/>
      <w:r w:rsidRPr="0029408A">
        <w:rPr>
          <w:rFonts w:ascii="Times New Roman" w:eastAsia="Times New Roman" w:hAnsi="Times New Roman"/>
          <w:color w:val="000000"/>
          <w:sz w:val="24"/>
          <w:szCs w:val="24"/>
          <w:lang w:val="en-GB"/>
        </w:rPr>
        <w:t>taking into account</w:t>
      </w:r>
      <w:proofErr w:type="gramEnd"/>
      <w:r w:rsidRPr="0029408A">
        <w:rPr>
          <w:rFonts w:ascii="Times New Roman" w:eastAsia="Times New Roman" w:hAnsi="Times New Roman"/>
          <w:color w:val="000000"/>
          <w:sz w:val="24"/>
          <w:szCs w:val="24"/>
          <w:lang w:val="en-GB"/>
        </w:rPr>
        <w:t xml:space="preserve"> the field of activity of the borrower in accordance with the categories specified in the Chart of accounts of the bookkeeping within licensed banks of the Republic of </w:t>
      </w:r>
      <w:proofErr w:type="gramStart"/>
      <w:r w:rsidRPr="0029408A">
        <w:rPr>
          <w:rFonts w:ascii="Times New Roman" w:eastAsia="Times New Roman" w:hAnsi="Times New Roman"/>
          <w:color w:val="000000"/>
          <w:sz w:val="24"/>
          <w:szCs w:val="24"/>
          <w:lang w:val="en-GB"/>
        </w:rPr>
        <w:t>Moldova;</w:t>
      </w:r>
      <w:proofErr w:type="gramEnd"/>
    </w:p>
    <w:p w14:paraId="50F81CF2"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4) </w:t>
      </w:r>
      <w:r w:rsidR="006469DF" w:rsidRPr="0029408A">
        <w:rPr>
          <w:rFonts w:ascii="Times New Roman" w:eastAsia="Times New Roman" w:hAnsi="Times New Roman"/>
          <w:color w:val="000000"/>
          <w:sz w:val="24"/>
          <w:szCs w:val="24"/>
          <w:lang w:val="en-GB"/>
        </w:rPr>
        <w:t>information on deposits, according to Annex no.3 to this Regulation, which shall include, but not be limited to:</w:t>
      </w:r>
    </w:p>
    <w:p w14:paraId="597B48DA"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a) </w:t>
      </w:r>
      <w:r w:rsidR="006469DF" w:rsidRPr="0029408A">
        <w:rPr>
          <w:rFonts w:ascii="Times New Roman" w:eastAsia="Times New Roman" w:hAnsi="Times New Roman"/>
          <w:color w:val="000000"/>
          <w:sz w:val="24"/>
          <w:szCs w:val="24"/>
          <w:lang w:val="en-GB"/>
        </w:rPr>
        <w:t xml:space="preserve">type of </w:t>
      </w:r>
      <w:proofErr w:type="gramStart"/>
      <w:r w:rsidR="006469DF" w:rsidRPr="0029408A">
        <w:rPr>
          <w:rFonts w:ascii="Times New Roman" w:eastAsia="Times New Roman" w:hAnsi="Times New Roman"/>
          <w:color w:val="000000"/>
          <w:sz w:val="24"/>
          <w:szCs w:val="24"/>
          <w:lang w:val="en-GB"/>
        </w:rPr>
        <w:t>deposit;</w:t>
      </w:r>
      <w:proofErr w:type="gramEnd"/>
    </w:p>
    <w:p w14:paraId="69A6C456"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b) </w:t>
      </w:r>
      <w:r w:rsidR="00DD16EB" w:rsidRPr="0029408A">
        <w:rPr>
          <w:rFonts w:ascii="Times New Roman" w:eastAsia="Times New Roman" w:hAnsi="Times New Roman"/>
          <w:color w:val="000000"/>
          <w:sz w:val="24"/>
          <w:szCs w:val="24"/>
          <w:lang w:val="en-GB"/>
        </w:rPr>
        <w:t xml:space="preserve">deposit portfolio accepted in Moldovan Lei and foreign </w:t>
      </w:r>
      <w:proofErr w:type="gramStart"/>
      <w:r w:rsidR="00DD16EB" w:rsidRPr="0029408A">
        <w:rPr>
          <w:rFonts w:ascii="Times New Roman" w:eastAsia="Times New Roman" w:hAnsi="Times New Roman"/>
          <w:color w:val="000000"/>
          <w:sz w:val="24"/>
          <w:szCs w:val="24"/>
          <w:lang w:val="en-GB"/>
        </w:rPr>
        <w:t>currency;</w:t>
      </w:r>
      <w:proofErr w:type="gramEnd"/>
    </w:p>
    <w:p w14:paraId="3DC6FBB9"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c) </w:t>
      </w:r>
      <w:r w:rsidR="00DD16EB" w:rsidRPr="0029408A">
        <w:rPr>
          <w:rFonts w:ascii="Times New Roman" w:eastAsia="Times New Roman" w:hAnsi="Times New Roman"/>
          <w:color w:val="000000"/>
          <w:sz w:val="24"/>
          <w:szCs w:val="24"/>
          <w:lang w:val="en-GB"/>
        </w:rPr>
        <w:t>average interest rate of deposits accepted in Moldovan Lei and foreign currency.</w:t>
      </w:r>
    </w:p>
    <w:p w14:paraId="15B3B1F0" w14:textId="77777777" w:rsidR="004E6D8A" w:rsidRDefault="00DD16EB"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The type of accepted deposits shall be determined based on the following criteria: term of the deposit accepted by the bank (term deposit, sight deposit), with and without interest and its ownership (deposits of individuals, legal entities, including deposits of state budget and administrative-territorial units budgets deposits of banks, non-bank financial environment, and deposits of other individuals performing an entrepreneurial activity or other type of activity);</w:t>
      </w:r>
    </w:p>
    <w:p w14:paraId="29BE13D7" w14:textId="77777777" w:rsidR="0095633E" w:rsidRPr="008349EF" w:rsidRDefault="0095633E" w:rsidP="0095633E">
      <w:pPr>
        <w:tabs>
          <w:tab w:val="left" w:pos="1134"/>
        </w:tabs>
        <w:spacing w:after="0" w:line="240" w:lineRule="auto"/>
        <w:ind w:firstLine="567"/>
        <w:jc w:val="both"/>
        <w:rPr>
          <w:rFonts w:ascii="Times New Roman" w:hAnsi="Times New Roman"/>
          <w:b/>
          <w:bCs/>
          <w:i/>
          <w:iCs/>
          <w:color w:val="BF8F00"/>
          <w:sz w:val="20"/>
          <w:szCs w:val="20"/>
        </w:rPr>
      </w:pPr>
      <w:r w:rsidRPr="008349EF">
        <w:rPr>
          <w:rStyle w:val="Strong"/>
          <w:rFonts w:ascii="Times New Roman" w:hAnsi="Times New Roman"/>
          <w:b w:val="0"/>
          <w:bCs w:val="0"/>
          <w:i/>
          <w:iCs/>
          <w:color w:val="BF8F00"/>
          <w:sz w:val="20"/>
          <w:szCs w:val="20"/>
        </w:rPr>
        <w:t>[point 25 amended by NBM Decision No. 329 of 19.12.2024, effective from 01.07.2025]</w:t>
      </w:r>
    </w:p>
    <w:p w14:paraId="7C0BD5CD" w14:textId="77777777" w:rsidR="007A2250" w:rsidRPr="008349EF" w:rsidRDefault="0095633E" w:rsidP="0095633E">
      <w:pPr>
        <w:tabs>
          <w:tab w:val="left" w:pos="1134"/>
        </w:tabs>
        <w:spacing w:after="0" w:line="240" w:lineRule="auto"/>
        <w:ind w:firstLine="567"/>
        <w:jc w:val="both"/>
        <w:rPr>
          <w:rFonts w:ascii="Times New Roman" w:eastAsia="Times New Roman" w:hAnsi="Times New Roman"/>
          <w:b/>
          <w:bCs/>
          <w:i/>
          <w:iCs/>
          <w:color w:val="BF8F00"/>
          <w:sz w:val="20"/>
          <w:szCs w:val="20"/>
        </w:rPr>
      </w:pPr>
      <w:r w:rsidRPr="008349EF">
        <w:rPr>
          <w:rStyle w:val="Strong"/>
          <w:rFonts w:ascii="Times New Roman" w:hAnsi="Times New Roman"/>
          <w:b w:val="0"/>
          <w:bCs w:val="0"/>
          <w:i/>
          <w:iCs/>
          <w:color w:val="BF8F00"/>
          <w:sz w:val="20"/>
          <w:szCs w:val="20"/>
        </w:rPr>
        <w:t>[point 25 amended by NBM Decision No. 275 of 29.12.2022, effective from 13.02.2023]</w:t>
      </w:r>
    </w:p>
    <w:p w14:paraId="6D160A3D" w14:textId="77777777" w:rsidR="004E6D8A" w:rsidRPr="0029408A" w:rsidRDefault="008300CD"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Banks shall publish on their website, maintain in their offices and make available to public upon request, the following information for the last three years preceding the reporting year:</w:t>
      </w:r>
    </w:p>
    <w:p w14:paraId="0193AE3D" w14:textId="77777777" w:rsidR="004E6D8A" w:rsidRPr="0029408A" w:rsidRDefault="008300CD" w:rsidP="008300CD">
      <w:pPr>
        <w:pStyle w:val="ListParagraph"/>
        <w:numPr>
          <w:ilvl w:val="1"/>
          <w:numId w:val="56"/>
        </w:numPr>
        <w:tabs>
          <w:tab w:val="left" w:pos="1134"/>
        </w:tabs>
        <w:contextualSpacing w:val="0"/>
        <w:jc w:val="both"/>
        <w:rPr>
          <w:color w:val="000000"/>
        </w:rPr>
      </w:pPr>
      <w:r w:rsidRPr="0029408A">
        <w:rPr>
          <w:color w:val="000000"/>
        </w:rPr>
        <w:t xml:space="preserve">the individual financial statements of the bank prepared in accordance with the International Financial Reporting Standards, with the auditor's report on the respective annual financial statements, and in the case of the parent company and the consolidated </w:t>
      </w:r>
      <w:proofErr w:type="gramStart"/>
      <w:r w:rsidRPr="0029408A">
        <w:rPr>
          <w:color w:val="000000"/>
        </w:rPr>
        <w:t>ones;</w:t>
      </w:r>
      <w:proofErr w:type="gramEnd"/>
    </w:p>
    <w:p w14:paraId="1990192D" w14:textId="77777777" w:rsidR="004E6D8A" w:rsidRPr="0029408A" w:rsidRDefault="008300CD" w:rsidP="008300CD">
      <w:pPr>
        <w:pStyle w:val="ListParagraph"/>
        <w:numPr>
          <w:ilvl w:val="1"/>
          <w:numId w:val="56"/>
        </w:numPr>
        <w:tabs>
          <w:tab w:val="left" w:pos="1134"/>
        </w:tabs>
        <w:contextualSpacing w:val="0"/>
        <w:jc w:val="both"/>
        <w:rPr>
          <w:color w:val="000000"/>
        </w:rPr>
      </w:pPr>
      <w:r w:rsidRPr="0029408A">
        <w:rPr>
          <w:color w:val="000000"/>
        </w:rPr>
        <w:t xml:space="preserve">the annual report of the bank's management, </w:t>
      </w:r>
      <w:proofErr w:type="gramStart"/>
      <w:r w:rsidRPr="0029408A">
        <w:rPr>
          <w:color w:val="000000"/>
        </w:rPr>
        <w:t>taking into account</w:t>
      </w:r>
      <w:proofErr w:type="gramEnd"/>
      <w:r w:rsidRPr="0029408A">
        <w:rPr>
          <w:color w:val="000000"/>
        </w:rPr>
        <w:t xml:space="preserve"> the provisions of the Accounting and Financial Reporting Law no. 287/2017. If the bank is a parent company, it will only publish the consolidated annual management </w:t>
      </w:r>
      <w:proofErr w:type="gramStart"/>
      <w:r w:rsidRPr="0029408A">
        <w:rPr>
          <w:color w:val="000000"/>
        </w:rPr>
        <w:t>report;</w:t>
      </w:r>
      <w:proofErr w:type="gramEnd"/>
    </w:p>
    <w:p w14:paraId="4822A3F9" w14:textId="77777777" w:rsidR="004E6D8A" w:rsidRPr="0029408A" w:rsidRDefault="008300CD" w:rsidP="008300CD">
      <w:pPr>
        <w:pStyle w:val="ListParagraph"/>
        <w:numPr>
          <w:ilvl w:val="1"/>
          <w:numId w:val="56"/>
        </w:numPr>
        <w:tabs>
          <w:tab w:val="left" w:pos="1134"/>
        </w:tabs>
        <w:contextualSpacing w:val="0"/>
        <w:jc w:val="both"/>
        <w:rPr>
          <w:color w:val="000000"/>
        </w:rPr>
      </w:pPr>
      <w:r w:rsidRPr="0029408A">
        <w:rPr>
          <w:color w:val="000000"/>
        </w:rPr>
        <w:t>the bank's accounting policy.</w:t>
      </w:r>
    </w:p>
    <w:p w14:paraId="73F95784" w14:textId="77777777" w:rsidR="004E6D8A" w:rsidRPr="0029408A" w:rsidRDefault="008300CD"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 xml:space="preserve">The National Bank may publish on its website the information published by banks in accordance with </w:t>
      </w:r>
      <w:r w:rsidR="007D3105" w:rsidRPr="0029408A">
        <w:rPr>
          <w:color w:val="000000"/>
          <w:lang w:val="en-GB"/>
        </w:rPr>
        <w:t>point</w:t>
      </w:r>
      <w:r w:rsidRPr="0029408A">
        <w:rPr>
          <w:color w:val="000000"/>
          <w:lang w:val="en-GB"/>
        </w:rPr>
        <w:t xml:space="preserve"> 25.</w:t>
      </w:r>
    </w:p>
    <w:p w14:paraId="3F9F5332" w14:textId="77777777" w:rsidR="00FF1E2E" w:rsidRPr="0029408A" w:rsidRDefault="00FF1E2E" w:rsidP="00FF1E2E">
      <w:pPr>
        <w:tabs>
          <w:tab w:val="left" w:pos="1134"/>
        </w:tabs>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Chapter V</w:t>
      </w:r>
    </w:p>
    <w:p w14:paraId="5E4782E6" w14:textId="77777777" w:rsidR="004E6D8A" w:rsidRPr="0029408A" w:rsidRDefault="00FF1E2E" w:rsidP="00FF1E2E">
      <w:pPr>
        <w:tabs>
          <w:tab w:val="left" w:pos="1134"/>
        </w:tabs>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PUBLICATION OF INFORMATION ON THE PROVISION OF SERVICES AND PRODUCTS</w:t>
      </w:r>
    </w:p>
    <w:p w14:paraId="7875944F" w14:textId="77777777" w:rsidR="00E07975" w:rsidRPr="0029408A" w:rsidRDefault="004A32D7"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 xml:space="preserve">The Bank shall print and distribute free of charge materials containing published information on the terms and conditions of operation of the products and services offered in the course of its business, in accordance with </w:t>
      </w:r>
      <w:r w:rsidR="007D3105" w:rsidRPr="0029408A">
        <w:rPr>
          <w:color w:val="000000"/>
          <w:lang w:val="en-GB"/>
        </w:rPr>
        <w:t>point</w:t>
      </w:r>
      <w:r w:rsidRPr="0029408A">
        <w:rPr>
          <w:color w:val="000000"/>
          <w:lang w:val="en-GB"/>
        </w:rPr>
        <w:t>s 30 to 35.</w:t>
      </w:r>
      <w:r w:rsidR="00E07975" w:rsidRPr="0029408A">
        <w:rPr>
          <w:b/>
          <w:color w:val="000000"/>
          <w:lang w:val="en-GB"/>
        </w:rPr>
        <w:t xml:space="preserve"> </w:t>
      </w:r>
    </w:p>
    <w:p w14:paraId="51C783F9" w14:textId="77777777" w:rsidR="00887B52" w:rsidRPr="0029408A" w:rsidRDefault="00225E69"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The information and materials published in accordance with this chapter shall be displayed on the noticeboard in the bank offices and on the bank's website. The respective information is permanently updated according to the modifications and / or additions received according to the internal regulations of the bank and is published as soon as possible, but not later than 3 days from the date of occurrence of the modifications / additions. On the noticeboard (and / or in materials) are placed the data regarding the contact person and his / her telephone number</w:t>
      </w:r>
      <w:r w:rsidR="00E5229A" w:rsidRPr="0029408A">
        <w:rPr>
          <w:color w:val="000000"/>
          <w:lang w:val="en-GB"/>
        </w:rPr>
        <w:t>.</w:t>
      </w:r>
    </w:p>
    <w:p w14:paraId="6E1EC93C" w14:textId="77777777" w:rsidR="004E6D8A" w:rsidRPr="0029408A" w:rsidRDefault="007B3EC0"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 xml:space="preserve">The Bank shall publish information </w:t>
      </w:r>
      <w:r w:rsidR="00616813" w:rsidRPr="0029408A">
        <w:rPr>
          <w:color w:val="000000"/>
          <w:lang w:val="en-GB"/>
        </w:rPr>
        <w:t>on deposit acceptance conditions, opening, modification and closing of accounts, and payment card use, which shall include, but not be limited to:</w:t>
      </w:r>
    </w:p>
    <w:p w14:paraId="2E1B0493"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1) </w:t>
      </w:r>
      <w:r w:rsidR="00616813" w:rsidRPr="0029408A">
        <w:rPr>
          <w:rFonts w:ascii="Times New Roman" w:eastAsia="Times New Roman" w:hAnsi="Times New Roman"/>
          <w:color w:val="000000"/>
          <w:sz w:val="24"/>
          <w:szCs w:val="24"/>
          <w:lang w:val="en-GB"/>
        </w:rPr>
        <w:t xml:space="preserve">main characteristics of </w:t>
      </w:r>
      <w:r w:rsidR="00652D8C" w:rsidRPr="0029408A">
        <w:rPr>
          <w:rFonts w:ascii="Times New Roman" w:eastAsia="Times New Roman" w:hAnsi="Times New Roman"/>
          <w:color w:val="000000"/>
          <w:sz w:val="24"/>
          <w:szCs w:val="24"/>
          <w:lang w:val="en-GB"/>
        </w:rPr>
        <w:t xml:space="preserve">different types of deposit (deposit accounts) </w:t>
      </w:r>
      <w:proofErr w:type="gramStart"/>
      <w:r w:rsidR="00652D8C" w:rsidRPr="0029408A">
        <w:rPr>
          <w:rFonts w:ascii="Times New Roman" w:eastAsia="Times New Roman" w:hAnsi="Times New Roman"/>
          <w:color w:val="000000"/>
          <w:sz w:val="24"/>
          <w:szCs w:val="24"/>
          <w:lang w:val="en-GB"/>
        </w:rPr>
        <w:t>offered;</w:t>
      </w:r>
      <w:proofErr w:type="gramEnd"/>
    </w:p>
    <w:p w14:paraId="5D8B45F4"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lastRenderedPageBreak/>
        <w:t xml:space="preserve">2) </w:t>
      </w:r>
      <w:r w:rsidR="00616813" w:rsidRPr="0029408A">
        <w:rPr>
          <w:rFonts w:ascii="Times New Roman" w:eastAsia="Times New Roman" w:hAnsi="Times New Roman"/>
          <w:color w:val="000000"/>
          <w:sz w:val="24"/>
          <w:szCs w:val="24"/>
          <w:lang w:val="en-GB"/>
        </w:rPr>
        <w:t xml:space="preserve">deposit acceptance conditions, </w:t>
      </w:r>
      <w:r w:rsidR="0097479F" w:rsidRPr="0029408A">
        <w:rPr>
          <w:rFonts w:ascii="Times New Roman" w:eastAsia="Times New Roman" w:hAnsi="Times New Roman"/>
          <w:color w:val="000000"/>
          <w:sz w:val="24"/>
          <w:szCs w:val="24"/>
          <w:lang w:val="en-GB"/>
        </w:rPr>
        <w:t>which will include, according to Annex no. 4, but will not be limited to:</w:t>
      </w:r>
    </w:p>
    <w:p w14:paraId="43079794"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a) </w:t>
      </w:r>
      <w:r w:rsidR="00616813" w:rsidRPr="0029408A">
        <w:rPr>
          <w:rFonts w:ascii="Times New Roman" w:eastAsia="Times New Roman" w:hAnsi="Times New Roman"/>
          <w:color w:val="000000"/>
          <w:sz w:val="24"/>
          <w:szCs w:val="24"/>
          <w:lang w:val="en-GB"/>
        </w:rPr>
        <w:t xml:space="preserve">amount of deposit (minimum/maximum) in national currency/foreign </w:t>
      </w:r>
      <w:proofErr w:type="gramStart"/>
      <w:r w:rsidR="00616813" w:rsidRPr="0029408A">
        <w:rPr>
          <w:rFonts w:ascii="Times New Roman" w:eastAsia="Times New Roman" w:hAnsi="Times New Roman"/>
          <w:color w:val="000000"/>
          <w:sz w:val="24"/>
          <w:szCs w:val="24"/>
          <w:lang w:val="en-GB"/>
        </w:rPr>
        <w:t>currency;</w:t>
      </w:r>
      <w:proofErr w:type="gramEnd"/>
    </w:p>
    <w:p w14:paraId="154EDEDC"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b) </w:t>
      </w:r>
      <w:r w:rsidR="00616813" w:rsidRPr="0029408A">
        <w:rPr>
          <w:rFonts w:ascii="Times New Roman" w:eastAsia="Times New Roman" w:hAnsi="Times New Roman"/>
          <w:color w:val="000000"/>
          <w:sz w:val="24"/>
          <w:szCs w:val="24"/>
          <w:lang w:val="en-GB"/>
        </w:rPr>
        <w:t xml:space="preserve">deposit acceptance </w:t>
      </w:r>
      <w:r w:rsidR="00410FB1" w:rsidRPr="0029408A">
        <w:rPr>
          <w:rFonts w:ascii="Times New Roman" w:eastAsia="Times New Roman" w:hAnsi="Times New Roman"/>
          <w:color w:val="000000"/>
          <w:sz w:val="24"/>
          <w:szCs w:val="24"/>
          <w:lang w:val="en-GB"/>
        </w:rPr>
        <w:t>term</w:t>
      </w:r>
      <w:r w:rsidR="00616813" w:rsidRPr="0029408A">
        <w:rPr>
          <w:rFonts w:ascii="Times New Roman" w:eastAsia="Times New Roman" w:hAnsi="Times New Roman"/>
          <w:color w:val="000000"/>
          <w:sz w:val="24"/>
          <w:szCs w:val="24"/>
          <w:lang w:val="en-GB"/>
        </w:rPr>
        <w:t xml:space="preserve"> (term deposit or sight deposit) in national currency/foreign </w:t>
      </w:r>
      <w:proofErr w:type="gramStart"/>
      <w:r w:rsidR="00616813" w:rsidRPr="0029408A">
        <w:rPr>
          <w:rFonts w:ascii="Times New Roman" w:eastAsia="Times New Roman" w:hAnsi="Times New Roman"/>
          <w:color w:val="000000"/>
          <w:sz w:val="24"/>
          <w:szCs w:val="24"/>
          <w:lang w:val="en-GB"/>
        </w:rPr>
        <w:t>currency;</w:t>
      </w:r>
      <w:proofErr w:type="gramEnd"/>
    </w:p>
    <w:p w14:paraId="0DC86C73"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c) </w:t>
      </w:r>
      <w:r w:rsidR="00410FB1" w:rsidRPr="0029408A">
        <w:rPr>
          <w:rFonts w:ascii="Times New Roman" w:eastAsia="Times New Roman" w:hAnsi="Times New Roman"/>
          <w:color w:val="000000"/>
          <w:sz w:val="24"/>
          <w:szCs w:val="24"/>
          <w:lang w:val="en-GB"/>
        </w:rPr>
        <w:t>currency of deposit (national currency/foreign currency</w:t>
      </w:r>
      <w:proofErr w:type="gramStart"/>
      <w:r w:rsidR="00410FB1" w:rsidRPr="0029408A">
        <w:rPr>
          <w:rFonts w:ascii="Times New Roman" w:eastAsia="Times New Roman" w:hAnsi="Times New Roman"/>
          <w:color w:val="000000"/>
          <w:sz w:val="24"/>
          <w:szCs w:val="24"/>
          <w:lang w:val="en-GB"/>
        </w:rPr>
        <w:t>);</w:t>
      </w:r>
      <w:proofErr w:type="gramEnd"/>
    </w:p>
    <w:p w14:paraId="5CF5390A"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d) </w:t>
      </w:r>
      <w:r w:rsidR="00410FB1" w:rsidRPr="0029408A">
        <w:rPr>
          <w:rFonts w:ascii="Times New Roman" w:eastAsia="Times New Roman" w:hAnsi="Times New Roman"/>
          <w:color w:val="000000"/>
          <w:sz w:val="24"/>
          <w:szCs w:val="24"/>
          <w:lang w:val="en-GB"/>
        </w:rPr>
        <w:t xml:space="preserve">interest rate (floating/fixed) of deposits accepted in national currency/foreign currency, and the calculation method of interest rate, which shall be illustrated with representative </w:t>
      </w:r>
      <w:proofErr w:type="gramStart"/>
      <w:r w:rsidR="00410FB1" w:rsidRPr="0029408A">
        <w:rPr>
          <w:rFonts w:ascii="Times New Roman" w:eastAsia="Times New Roman" w:hAnsi="Times New Roman"/>
          <w:color w:val="000000"/>
          <w:sz w:val="24"/>
          <w:szCs w:val="24"/>
          <w:lang w:val="en-GB"/>
        </w:rPr>
        <w:t>examples</w:t>
      </w:r>
      <w:r w:rsidRPr="0029408A">
        <w:rPr>
          <w:rFonts w:ascii="Times New Roman" w:eastAsia="Times New Roman" w:hAnsi="Times New Roman"/>
          <w:color w:val="000000"/>
          <w:sz w:val="24"/>
          <w:szCs w:val="24"/>
          <w:lang w:val="en-GB"/>
        </w:rPr>
        <w:t>;</w:t>
      </w:r>
      <w:proofErr w:type="gramEnd"/>
    </w:p>
    <w:p w14:paraId="469A167D"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e) </w:t>
      </w:r>
      <w:r w:rsidR="00410FB1" w:rsidRPr="0029408A">
        <w:rPr>
          <w:rFonts w:ascii="Times New Roman" w:eastAsia="Times New Roman" w:hAnsi="Times New Roman"/>
          <w:color w:val="000000"/>
          <w:sz w:val="24"/>
          <w:szCs w:val="24"/>
          <w:lang w:val="en-GB"/>
        </w:rPr>
        <w:t xml:space="preserve">method (with or without capitalization) and term/frequency of interest </w:t>
      </w:r>
      <w:proofErr w:type="gramStart"/>
      <w:r w:rsidR="00410FB1" w:rsidRPr="0029408A">
        <w:rPr>
          <w:rFonts w:ascii="Times New Roman" w:eastAsia="Times New Roman" w:hAnsi="Times New Roman"/>
          <w:color w:val="000000"/>
          <w:sz w:val="24"/>
          <w:szCs w:val="24"/>
          <w:lang w:val="en-GB"/>
        </w:rPr>
        <w:t>payment;</w:t>
      </w:r>
      <w:proofErr w:type="gramEnd"/>
    </w:p>
    <w:p w14:paraId="205D9BCB"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f) </w:t>
      </w:r>
      <w:r w:rsidR="00AA20A1" w:rsidRPr="0029408A">
        <w:rPr>
          <w:rFonts w:ascii="Times New Roman" w:eastAsia="Times New Roman" w:hAnsi="Times New Roman"/>
          <w:color w:val="000000"/>
          <w:sz w:val="24"/>
          <w:szCs w:val="24"/>
          <w:lang w:val="en-GB"/>
        </w:rPr>
        <w:t xml:space="preserve">right and conditions to change the interest </w:t>
      </w:r>
      <w:proofErr w:type="gramStart"/>
      <w:r w:rsidR="00AA20A1" w:rsidRPr="0029408A">
        <w:rPr>
          <w:rFonts w:ascii="Times New Roman" w:eastAsia="Times New Roman" w:hAnsi="Times New Roman"/>
          <w:color w:val="000000"/>
          <w:sz w:val="24"/>
          <w:szCs w:val="24"/>
          <w:lang w:val="en-GB"/>
        </w:rPr>
        <w:t>rate;</w:t>
      </w:r>
      <w:proofErr w:type="gramEnd"/>
    </w:p>
    <w:p w14:paraId="422E812E"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g) </w:t>
      </w:r>
      <w:r w:rsidR="00AA20A1" w:rsidRPr="0029408A">
        <w:rPr>
          <w:rFonts w:ascii="Times New Roman" w:eastAsia="Times New Roman" w:hAnsi="Times New Roman"/>
          <w:color w:val="000000"/>
          <w:sz w:val="24"/>
          <w:szCs w:val="24"/>
          <w:lang w:val="en-GB"/>
        </w:rPr>
        <w:t xml:space="preserve">commissions, fees related to opening and serving a deposit </w:t>
      </w:r>
      <w:proofErr w:type="gramStart"/>
      <w:r w:rsidR="00AA20A1" w:rsidRPr="0029408A">
        <w:rPr>
          <w:rFonts w:ascii="Times New Roman" w:eastAsia="Times New Roman" w:hAnsi="Times New Roman"/>
          <w:color w:val="000000"/>
          <w:sz w:val="24"/>
          <w:szCs w:val="24"/>
          <w:lang w:val="en-GB"/>
        </w:rPr>
        <w:t>account;</w:t>
      </w:r>
      <w:proofErr w:type="gramEnd"/>
    </w:p>
    <w:p w14:paraId="0D1E91AA"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h) </w:t>
      </w:r>
      <w:r w:rsidR="00AA20A1" w:rsidRPr="0029408A">
        <w:rPr>
          <w:rFonts w:ascii="Times New Roman" w:eastAsia="Times New Roman" w:hAnsi="Times New Roman"/>
          <w:color w:val="000000"/>
          <w:sz w:val="24"/>
          <w:szCs w:val="24"/>
          <w:lang w:val="en-GB"/>
        </w:rPr>
        <w:t xml:space="preserve">right and way to fund or partially withdraw funds from a deposit </w:t>
      </w:r>
      <w:proofErr w:type="gramStart"/>
      <w:r w:rsidR="00AA20A1" w:rsidRPr="0029408A">
        <w:rPr>
          <w:rFonts w:ascii="Times New Roman" w:eastAsia="Times New Roman" w:hAnsi="Times New Roman"/>
          <w:color w:val="000000"/>
          <w:sz w:val="24"/>
          <w:szCs w:val="24"/>
          <w:lang w:val="en-GB"/>
        </w:rPr>
        <w:t>account;</w:t>
      </w:r>
      <w:proofErr w:type="gramEnd"/>
    </w:p>
    <w:p w14:paraId="68C6D2F7"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i) </w:t>
      </w:r>
      <w:r w:rsidR="00AA20A1" w:rsidRPr="0029408A">
        <w:rPr>
          <w:rFonts w:ascii="Times New Roman" w:eastAsia="Times New Roman" w:hAnsi="Times New Roman"/>
          <w:color w:val="000000"/>
          <w:sz w:val="24"/>
          <w:szCs w:val="24"/>
          <w:lang w:val="en-GB"/>
        </w:rPr>
        <w:t xml:space="preserve">conditions for termination of deposit contract before </w:t>
      </w:r>
      <w:proofErr w:type="gramStart"/>
      <w:r w:rsidR="00AA20A1" w:rsidRPr="0029408A">
        <w:rPr>
          <w:rFonts w:ascii="Times New Roman" w:eastAsia="Times New Roman" w:hAnsi="Times New Roman"/>
          <w:color w:val="000000"/>
          <w:sz w:val="24"/>
          <w:szCs w:val="24"/>
          <w:lang w:val="en-GB"/>
        </w:rPr>
        <w:t>term;</w:t>
      </w:r>
      <w:proofErr w:type="gramEnd"/>
    </w:p>
    <w:p w14:paraId="2E982E04"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j) </w:t>
      </w:r>
      <w:r w:rsidR="00AA20A1" w:rsidRPr="0029408A">
        <w:rPr>
          <w:rFonts w:ascii="Times New Roman" w:eastAsia="Times New Roman" w:hAnsi="Times New Roman"/>
          <w:color w:val="000000"/>
          <w:sz w:val="24"/>
          <w:szCs w:val="24"/>
          <w:lang w:val="en-GB"/>
        </w:rPr>
        <w:t xml:space="preserve">documents necessary to open, modify and close a deposit </w:t>
      </w:r>
      <w:proofErr w:type="gramStart"/>
      <w:r w:rsidR="00AA20A1" w:rsidRPr="0029408A">
        <w:rPr>
          <w:rFonts w:ascii="Times New Roman" w:eastAsia="Times New Roman" w:hAnsi="Times New Roman"/>
          <w:color w:val="000000"/>
          <w:sz w:val="24"/>
          <w:szCs w:val="24"/>
          <w:lang w:val="en-GB"/>
        </w:rPr>
        <w:t>account;</w:t>
      </w:r>
      <w:proofErr w:type="gramEnd"/>
    </w:p>
    <w:p w14:paraId="1F2A1297"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3) </w:t>
      </w:r>
      <w:r w:rsidR="003C07E5" w:rsidRPr="0029408A">
        <w:rPr>
          <w:rFonts w:ascii="Times New Roman" w:eastAsia="Times New Roman" w:hAnsi="Times New Roman"/>
          <w:color w:val="000000"/>
          <w:sz w:val="24"/>
          <w:szCs w:val="24"/>
          <w:lang w:val="en-GB"/>
        </w:rPr>
        <w:t xml:space="preserve">existence of an instrument on the bank’s website designated to resolve equations in order to determine total amounts (interest rate and other payments to be paid by the bank), which are to be paid in accordance with the respective deposit contract. At the same time, this instrument shall provide the possibility to make calculations by period (monthly/quarterly), depending on the frequency of deposit-related payments that are to be made by the bank. Deposit-related payments shall be determined </w:t>
      </w:r>
      <w:proofErr w:type="gramStart"/>
      <w:r w:rsidR="003C07E5" w:rsidRPr="0029408A">
        <w:rPr>
          <w:rFonts w:ascii="Times New Roman" w:eastAsia="Times New Roman" w:hAnsi="Times New Roman"/>
          <w:color w:val="000000"/>
          <w:sz w:val="24"/>
          <w:szCs w:val="24"/>
          <w:lang w:val="en-GB"/>
        </w:rPr>
        <w:t>taking into account</w:t>
      </w:r>
      <w:proofErr w:type="gramEnd"/>
      <w:r w:rsidR="003C07E5" w:rsidRPr="0029408A">
        <w:rPr>
          <w:rFonts w:ascii="Times New Roman" w:eastAsia="Times New Roman" w:hAnsi="Times New Roman"/>
          <w:color w:val="000000"/>
          <w:sz w:val="24"/>
          <w:szCs w:val="24"/>
          <w:lang w:val="en-GB"/>
        </w:rPr>
        <w:t xml:space="preserve"> the conditions existing before deposit contract conclusion (amount of deposit, term of deposit, interest rate, etc.</w:t>
      </w:r>
      <w:proofErr w:type="gramStart"/>
      <w:r w:rsidR="003C07E5" w:rsidRPr="0029408A">
        <w:rPr>
          <w:rFonts w:ascii="Times New Roman" w:eastAsia="Times New Roman" w:hAnsi="Times New Roman"/>
          <w:color w:val="000000"/>
          <w:sz w:val="24"/>
          <w:szCs w:val="24"/>
          <w:lang w:val="en-GB"/>
        </w:rPr>
        <w:t>);</w:t>
      </w:r>
      <w:proofErr w:type="gramEnd"/>
    </w:p>
    <w:p w14:paraId="2C17FB1B"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4) </w:t>
      </w:r>
      <w:r w:rsidR="0023140D" w:rsidRPr="0029408A">
        <w:rPr>
          <w:rFonts w:ascii="Times New Roman" w:eastAsia="Times New Roman" w:hAnsi="Times New Roman"/>
          <w:color w:val="000000"/>
          <w:sz w:val="24"/>
          <w:szCs w:val="24"/>
          <w:lang w:val="en-GB"/>
        </w:rPr>
        <w:t xml:space="preserve">a guide to open deposit accounts (including to open, modify and close current accounts for account holders), which shall include the list of documents to be submitted to open accounts, specific requirements for documents to be submitted as well as formalities to be followed </w:t>
      </w:r>
      <w:proofErr w:type="gramStart"/>
      <w:r w:rsidR="0023140D" w:rsidRPr="0029408A">
        <w:rPr>
          <w:rFonts w:ascii="Times New Roman" w:eastAsia="Times New Roman" w:hAnsi="Times New Roman"/>
          <w:color w:val="000000"/>
          <w:sz w:val="24"/>
          <w:szCs w:val="24"/>
          <w:lang w:val="en-GB"/>
        </w:rPr>
        <w:t>in order to</w:t>
      </w:r>
      <w:proofErr w:type="gramEnd"/>
      <w:r w:rsidR="0023140D" w:rsidRPr="0029408A">
        <w:rPr>
          <w:rFonts w:ascii="Times New Roman" w:eastAsia="Times New Roman" w:hAnsi="Times New Roman"/>
          <w:color w:val="000000"/>
          <w:sz w:val="24"/>
          <w:szCs w:val="24"/>
          <w:lang w:val="en-GB"/>
        </w:rPr>
        <w:t xml:space="preserve"> open and use such </w:t>
      </w:r>
      <w:proofErr w:type="gramStart"/>
      <w:r w:rsidR="0023140D" w:rsidRPr="0029408A">
        <w:rPr>
          <w:rFonts w:ascii="Times New Roman" w:eastAsia="Times New Roman" w:hAnsi="Times New Roman"/>
          <w:color w:val="000000"/>
          <w:sz w:val="24"/>
          <w:szCs w:val="24"/>
          <w:lang w:val="en-GB"/>
        </w:rPr>
        <w:t>accounts;</w:t>
      </w:r>
      <w:proofErr w:type="gramEnd"/>
      <w:r w:rsidR="0023140D" w:rsidRPr="0029408A">
        <w:rPr>
          <w:rFonts w:ascii="Times New Roman" w:eastAsia="Times New Roman" w:hAnsi="Times New Roman"/>
          <w:color w:val="000000"/>
          <w:sz w:val="24"/>
          <w:szCs w:val="24"/>
          <w:lang w:val="en-GB"/>
        </w:rPr>
        <w:t xml:space="preserve">    </w:t>
      </w:r>
    </w:p>
    <w:p w14:paraId="2F0902E4"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5) </w:t>
      </w:r>
      <w:r w:rsidR="00376D72" w:rsidRPr="0029408A">
        <w:rPr>
          <w:rFonts w:ascii="Times New Roman" w:eastAsia="Times New Roman" w:hAnsi="Times New Roman"/>
          <w:color w:val="000000"/>
          <w:sz w:val="24"/>
          <w:szCs w:val="24"/>
          <w:lang w:val="en-GB"/>
        </w:rPr>
        <w:t>conditions to issue and serve payment cards shall include, but not be limited to:</w:t>
      </w:r>
    </w:p>
    <w:p w14:paraId="07C0B4A1"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a) </w:t>
      </w:r>
      <w:r w:rsidR="00376D72" w:rsidRPr="0029408A">
        <w:rPr>
          <w:rFonts w:ascii="Times New Roman" w:eastAsia="Times New Roman" w:hAnsi="Times New Roman"/>
          <w:color w:val="000000"/>
          <w:sz w:val="24"/>
          <w:szCs w:val="24"/>
          <w:lang w:val="en-GB"/>
        </w:rPr>
        <w:t xml:space="preserve">documents necessary to issue a payment card, card issuance term and its </w:t>
      </w:r>
      <w:proofErr w:type="gramStart"/>
      <w:r w:rsidR="00376D72" w:rsidRPr="0029408A">
        <w:rPr>
          <w:rFonts w:ascii="Times New Roman" w:eastAsia="Times New Roman" w:hAnsi="Times New Roman"/>
          <w:color w:val="000000"/>
          <w:sz w:val="24"/>
          <w:szCs w:val="24"/>
          <w:lang w:val="en-GB"/>
        </w:rPr>
        <w:t>validity;</w:t>
      </w:r>
      <w:proofErr w:type="gramEnd"/>
    </w:p>
    <w:p w14:paraId="06DE4920"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b) </w:t>
      </w:r>
      <w:r w:rsidR="00376D72" w:rsidRPr="0029408A">
        <w:rPr>
          <w:rFonts w:ascii="Times New Roman" w:eastAsia="Times New Roman" w:hAnsi="Times New Roman"/>
          <w:color w:val="000000"/>
          <w:sz w:val="24"/>
          <w:szCs w:val="24"/>
          <w:lang w:val="en-GB"/>
        </w:rPr>
        <w:t>commissions and conditions for payment card issuance (minimum funding amount, minimum account balance, restrictions on payment card use, issuance fee, annual servicing fee, and other fees charged in case of validity extension, changing the name/surname, payment card loss/theft/damage, PIN change and other</w:t>
      </w:r>
      <w:proofErr w:type="gramStart"/>
      <w:r w:rsidR="00376D72" w:rsidRPr="0029408A">
        <w:rPr>
          <w:rFonts w:ascii="Times New Roman" w:eastAsia="Times New Roman" w:hAnsi="Times New Roman"/>
          <w:color w:val="000000"/>
          <w:sz w:val="24"/>
          <w:szCs w:val="24"/>
          <w:lang w:val="en-GB"/>
        </w:rPr>
        <w:t>);</w:t>
      </w:r>
      <w:proofErr w:type="gramEnd"/>
    </w:p>
    <w:p w14:paraId="18A812CA"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c) </w:t>
      </w:r>
      <w:r w:rsidR="008359A3" w:rsidRPr="0029408A">
        <w:rPr>
          <w:rFonts w:ascii="Times New Roman" w:eastAsia="Times New Roman" w:hAnsi="Times New Roman"/>
          <w:color w:val="000000"/>
          <w:sz w:val="24"/>
          <w:szCs w:val="24"/>
          <w:lang w:val="en-GB"/>
        </w:rPr>
        <w:t>commissions for operations performed and services rendered (fund an account, withdraw funds, pay goods/services, and make transfers by the clients, visualization of account balance, provision of an account statement, investigation of disputes regarding operations performed, etc.</w:t>
      </w:r>
      <w:proofErr w:type="gramStart"/>
      <w:r w:rsidR="008359A3" w:rsidRPr="0029408A">
        <w:rPr>
          <w:rFonts w:ascii="Times New Roman" w:eastAsia="Times New Roman" w:hAnsi="Times New Roman"/>
          <w:color w:val="000000"/>
          <w:sz w:val="24"/>
          <w:szCs w:val="24"/>
          <w:lang w:val="en-GB"/>
        </w:rPr>
        <w:t>);</w:t>
      </w:r>
      <w:proofErr w:type="gramEnd"/>
    </w:p>
    <w:p w14:paraId="02E591C6"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d) </w:t>
      </w:r>
      <w:r w:rsidR="008359A3" w:rsidRPr="0029408A">
        <w:rPr>
          <w:rFonts w:ascii="Times New Roman" w:eastAsia="Times New Roman" w:hAnsi="Times New Roman"/>
          <w:color w:val="000000"/>
          <w:sz w:val="24"/>
          <w:szCs w:val="24"/>
          <w:lang w:val="en-GB"/>
        </w:rPr>
        <w:t xml:space="preserve">interest calculation formula and periodicity of interest payment by the bank for the funds held in account, if </w:t>
      </w:r>
      <w:proofErr w:type="gramStart"/>
      <w:r w:rsidR="008359A3" w:rsidRPr="0029408A">
        <w:rPr>
          <w:rFonts w:ascii="Times New Roman" w:eastAsia="Times New Roman" w:hAnsi="Times New Roman"/>
          <w:color w:val="000000"/>
          <w:sz w:val="24"/>
          <w:szCs w:val="24"/>
          <w:lang w:val="en-GB"/>
        </w:rPr>
        <w:t>applicable;</w:t>
      </w:r>
      <w:proofErr w:type="gramEnd"/>
    </w:p>
    <w:p w14:paraId="3C1609DC"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e) </w:t>
      </w:r>
      <w:r w:rsidR="008359A3" w:rsidRPr="0029408A">
        <w:rPr>
          <w:rFonts w:ascii="Times New Roman" w:eastAsia="Times New Roman" w:hAnsi="Times New Roman"/>
          <w:color w:val="000000"/>
          <w:sz w:val="24"/>
          <w:szCs w:val="24"/>
          <w:lang w:val="en-GB"/>
        </w:rPr>
        <w:t xml:space="preserve">the exchange rate applied to card operations, established by the bank or, where appropriate, the method of determining it (for example, the exchange rate set by the international payment systems) - if the transaction currency differs from currency of card </w:t>
      </w:r>
      <w:proofErr w:type="gramStart"/>
      <w:r w:rsidR="008359A3" w:rsidRPr="0029408A">
        <w:rPr>
          <w:rFonts w:ascii="Times New Roman" w:eastAsia="Times New Roman" w:hAnsi="Times New Roman"/>
          <w:color w:val="000000"/>
          <w:sz w:val="24"/>
          <w:szCs w:val="24"/>
          <w:lang w:val="en-GB"/>
        </w:rPr>
        <w:t>account;</w:t>
      </w:r>
      <w:proofErr w:type="gramEnd"/>
    </w:p>
    <w:p w14:paraId="348507DB"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6) </w:t>
      </w:r>
      <w:r w:rsidR="004E5C49" w:rsidRPr="0029408A">
        <w:rPr>
          <w:rFonts w:ascii="Times New Roman" w:eastAsia="Times New Roman" w:hAnsi="Times New Roman"/>
          <w:color w:val="000000"/>
          <w:sz w:val="24"/>
          <w:szCs w:val="24"/>
          <w:lang w:val="en-GB"/>
        </w:rPr>
        <w:t>in addition to the information referred to in sub-</w:t>
      </w:r>
      <w:r w:rsidR="007D3105" w:rsidRPr="0029408A">
        <w:rPr>
          <w:rFonts w:ascii="Times New Roman" w:eastAsia="Times New Roman" w:hAnsi="Times New Roman"/>
          <w:color w:val="000000"/>
          <w:sz w:val="24"/>
          <w:szCs w:val="24"/>
          <w:lang w:val="en-GB"/>
        </w:rPr>
        <w:t>point</w:t>
      </w:r>
      <w:r w:rsidR="004E5C49" w:rsidRPr="0029408A">
        <w:rPr>
          <w:rFonts w:ascii="Times New Roman" w:eastAsia="Times New Roman" w:hAnsi="Times New Roman"/>
          <w:color w:val="000000"/>
          <w:sz w:val="24"/>
          <w:szCs w:val="24"/>
          <w:lang w:val="en-GB"/>
        </w:rPr>
        <w:t xml:space="preserve"> 5, in case of a credit card, banks shall also publish the following information:</w:t>
      </w:r>
    </w:p>
    <w:p w14:paraId="6E8B193F"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a) </w:t>
      </w:r>
      <w:r w:rsidR="004E5C49" w:rsidRPr="0029408A">
        <w:rPr>
          <w:rFonts w:ascii="Times New Roman" w:eastAsia="Times New Roman" w:hAnsi="Times New Roman"/>
          <w:color w:val="000000"/>
          <w:sz w:val="24"/>
          <w:szCs w:val="24"/>
          <w:lang w:val="en-GB"/>
        </w:rPr>
        <w:t xml:space="preserve">minimum / maximum amount of the credit/overdraft </w:t>
      </w:r>
      <w:proofErr w:type="gramStart"/>
      <w:r w:rsidR="004E5C49" w:rsidRPr="0029408A">
        <w:rPr>
          <w:rFonts w:ascii="Times New Roman" w:eastAsia="Times New Roman" w:hAnsi="Times New Roman"/>
          <w:color w:val="000000"/>
          <w:sz w:val="24"/>
          <w:szCs w:val="24"/>
          <w:lang w:val="en-GB"/>
        </w:rPr>
        <w:t>sanctioned;</w:t>
      </w:r>
      <w:proofErr w:type="gramEnd"/>
    </w:p>
    <w:p w14:paraId="69548B08"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b) </w:t>
      </w:r>
      <w:r w:rsidR="004E5C49" w:rsidRPr="0029408A">
        <w:rPr>
          <w:rFonts w:ascii="Times New Roman" w:eastAsia="Times New Roman" w:hAnsi="Times New Roman"/>
          <w:color w:val="000000"/>
          <w:sz w:val="24"/>
          <w:szCs w:val="24"/>
          <w:lang w:val="en-GB"/>
        </w:rPr>
        <w:t xml:space="preserve">minimum / maximum credit reimbursement </w:t>
      </w:r>
      <w:proofErr w:type="gramStart"/>
      <w:r w:rsidR="004E5C49" w:rsidRPr="0029408A">
        <w:rPr>
          <w:rFonts w:ascii="Times New Roman" w:eastAsia="Times New Roman" w:hAnsi="Times New Roman"/>
          <w:color w:val="000000"/>
          <w:sz w:val="24"/>
          <w:szCs w:val="24"/>
          <w:lang w:val="en-GB"/>
        </w:rPr>
        <w:t>term;</w:t>
      </w:r>
      <w:proofErr w:type="gramEnd"/>
    </w:p>
    <w:p w14:paraId="6B66A990"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c) </w:t>
      </w:r>
      <w:r w:rsidR="002E7BE2" w:rsidRPr="0029408A">
        <w:rPr>
          <w:rFonts w:ascii="Times New Roman" w:eastAsia="Times New Roman" w:hAnsi="Times New Roman"/>
          <w:color w:val="000000"/>
          <w:sz w:val="24"/>
          <w:szCs w:val="24"/>
          <w:lang w:val="en-GB"/>
        </w:rPr>
        <w:t xml:space="preserve">credit insurance </w:t>
      </w:r>
      <w:proofErr w:type="gramStart"/>
      <w:r w:rsidR="002E7BE2" w:rsidRPr="0029408A">
        <w:rPr>
          <w:rFonts w:ascii="Times New Roman" w:eastAsia="Times New Roman" w:hAnsi="Times New Roman"/>
          <w:color w:val="000000"/>
          <w:sz w:val="24"/>
          <w:szCs w:val="24"/>
          <w:lang w:val="en-GB"/>
        </w:rPr>
        <w:t>form;</w:t>
      </w:r>
      <w:proofErr w:type="gramEnd"/>
    </w:p>
    <w:p w14:paraId="5C83FC96"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d) </w:t>
      </w:r>
      <w:r w:rsidR="002E7BE2" w:rsidRPr="0029408A">
        <w:rPr>
          <w:rFonts w:ascii="Times New Roman" w:eastAsia="Times New Roman" w:hAnsi="Times New Roman"/>
          <w:color w:val="000000"/>
          <w:sz w:val="24"/>
          <w:szCs w:val="24"/>
          <w:lang w:val="en-GB"/>
        </w:rPr>
        <w:t xml:space="preserve">interest rate paid by the client, the method of calculation, reimbursement method and periodicity of interest </w:t>
      </w:r>
      <w:proofErr w:type="gramStart"/>
      <w:r w:rsidR="002E7BE2" w:rsidRPr="0029408A">
        <w:rPr>
          <w:rFonts w:ascii="Times New Roman" w:eastAsia="Times New Roman" w:hAnsi="Times New Roman"/>
          <w:color w:val="000000"/>
          <w:sz w:val="24"/>
          <w:szCs w:val="24"/>
          <w:lang w:val="en-GB"/>
        </w:rPr>
        <w:t>payment</w:t>
      </w:r>
      <w:r w:rsidRPr="0029408A">
        <w:rPr>
          <w:rFonts w:ascii="Times New Roman" w:eastAsia="Times New Roman" w:hAnsi="Times New Roman"/>
          <w:color w:val="000000"/>
          <w:sz w:val="24"/>
          <w:szCs w:val="24"/>
          <w:lang w:val="en-GB"/>
        </w:rPr>
        <w:t>;</w:t>
      </w:r>
      <w:proofErr w:type="gramEnd"/>
    </w:p>
    <w:p w14:paraId="4E7DE952"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e) </w:t>
      </w:r>
      <w:r w:rsidR="006C7B1E" w:rsidRPr="0029408A">
        <w:rPr>
          <w:rFonts w:ascii="Times New Roman" w:eastAsia="Times New Roman" w:hAnsi="Times New Roman"/>
          <w:color w:val="000000"/>
          <w:sz w:val="24"/>
          <w:szCs w:val="24"/>
          <w:lang w:val="en-GB"/>
        </w:rPr>
        <w:t>other payments that are not included in the interest rate (which is their amount</w:t>
      </w:r>
      <w:proofErr w:type="gramStart"/>
      <w:r w:rsidR="006C7B1E" w:rsidRPr="0029408A">
        <w:rPr>
          <w:rFonts w:ascii="Times New Roman" w:eastAsia="Times New Roman" w:hAnsi="Times New Roman"/>
          <w:color w:val="000000"/>
          <w:sz w:val="24"/>
          <w:szCs w:val="24"/>
          <w:lang w:val="en-GB"/>
        </w:rPr>
        <w:t>);</w:t>
      </w:r>
      <w:proofErr w:type="gramEnd"/>
    </w:p>
    <w:p w14:paraId="4F6CDF08"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f) </w:t>
      </w:r>
      <w:r w:rsidR="006C7B1E" w:rsidRPr="0029408A">
        <w:rPr>
          <w:rFonts w:ascii="Times New Roman" w:eastAsia="Times New Roman" w:hAnsi="Times New Roman"/>
          <w:color w:val="000000"/>
          <w:sz w:val="24"/>
          <w:szCs w:val="24"/>
          <w:lang w:val="en-GB"/>
        </w:rPr>
        <w:t xml:space="preserve">size of penalties for unauthorized overdraft/exceeding the credit reimbursement </w:t>
      </w:r>
      <w:proofErr w:type="gramStart"/>
      <w:r w:rsidR="006C7B1E" w:rsidRPr="0029408A">
        <w:rPr>
          <w:rFonts w:ascii="Times New Roman" w:eastAsia="Times New Roman" w:hAnsi="Times New Roman"/>
          <w:color w:val="000000"/>
          <w:sz w:val="24"/>
          <w:szCs w:val="24"/>
          <w:lang w:val="en-GB"/>
        </w:rPr>
        <w:t>period;</w:t>
      </w:r>
      <w:proofErr w:type="gramEnd"/>
    </w:p>
    <w:p w14:paraId="1EB5137E"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lastRenderedPageBreak/>
        <w:t xml:space="preserve">g) </w:t>
      </w:r>
      <w:r w:rsidR="006C7B1E" w:rsidRPr="0029408A">
        <w:rPr>
          <w:rFonts w:ascii="Times New Roman" w:eastAsia="Times New Roman" w:hAnsi="Times New Roman"/>
          <w:color w:val="000000"/>
          <w:sz w:val="24"/>
          <w:szCs w:val="24"/>
          <w:lang w:val="en-GB"/>
        </w:rPr>
        <w:t xml:space="preserve">interest rate paid by the client for the outstanding credit, the calculation method and manner of reimbursement of outstanding </w:t>
      </w:r>
      <w:proofErr w:type="gramStart"/>
      <w:r w:rsidR="006C7B1E" w:rsidRPr="0029408A">
        <w:rPr>
          <w:rFonts w:ascii="Times New Roman" w:eastAsia="Times New Roman" w:hAnsi="Times New Roman"/>
          <w:color w:val="000000"/>
          <w:sz w:val="24"/>
          <w:szCs w:val="24"/>
          <w:lang w:val="en-GB"/>
        </w:rPr>
        <w:t>amounts;</w:t>
      </w:r>
      <w:proofErr w:type="gramEnd"/>
    </w:p>
    <w:p w14:paraId="23B99D98"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h) </w:t>
      </w:r>
      <w:r w:rsidR="009B5BBF" w:rsidRPr="0029408A">
        <w:rPr>
          <w:rFonts w:ascii="Times New Roman" w:eastAsia="Times New Roman" w:hAnsi="Times New Roman"/>
          <w:color w:val="000000"/>
          <w:sz w:val="24"/>
          <w:szCs w:val="24"/>
          <w:lang w:val="en-GB"/>
        </w:rPr>
        <w:t xml:space="preserve">documents necessary to obtain a </w:t>
      </w:r>
      <w:proofErr w:type="gramStart"/>
      <w:r w:rsidR="009B5BBF" w:rsidRPr="0029408A">
        <w:rPr>
          <w:rFonts w:ascii="Times New Roman" w:eastAsia="Times New Roman" w:hAnsi="Times New Roman"/>
          <w:color w:val="000000"/>
          <w:sz w:val="24"/>
          <w:szCs w:val="24"/>
          <w:lang w:val="en-GB"/>
        </w:rPr>
        <w:t>credit;</w:t>
      </w:r>
      <w:proofErr w:type="gramEnd"/>
    </w:p>
    <w:p w14:paraId="22DF9B60"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i) </w:t>
      </w:r>
      <w:r w:rsidR="009B5BBF" w:rsidRPr="0029408A">
        <w:rPr>
          <w:rFonts w:ascii="Times New Roman" w:eastAsia="Times New Roman" w:hAnsi="Times New Roman"/>
          <w:color w:val="000000"/>
          <w:sz w:val="24"/>
          <w:szCs w:val="24"/>
          <w:lang w:val="en-GB"/>
        </w:rPr>
        <w:t xml:space="preserve">minimum requirements to clients for credit </w:t>
      </w:r>
      <w:proofErr w:type="gramStart"/>
      <w:r w:rsidR="009B5BBF" w:rsidRPr="0029408A">
        <w:rPr>
          <w:rFonts w:ascii="Times New Roman" w:eastAsia="Times New Roman" w:hAnsi="Times New Roman"/>
          <w:color w:val="000000"/>
          <w:sz w:val="24"/>
          <w:szCs w:val="24"/>
          <w:lang w:val="en-GB"/>
        </w:rPr>
        <w:t>extension;</w:t>
      </w:r>
      <w:proofErr w:type="gramEnd"/>
    </w:p>
    <w:p w14:paraId="77586C77"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7) </w:t>
      </w:r>
      <w:r w:rsidR="009B5BBF" w:rsidRPr="0029408A">
        <w:rPr>
          <w:rFonts w:ascii="Times New Roman" w:eastAsia="Times New Roman" w:hAnsi="Times New Roman"/>
          <w:color w:val="000000"/>
          <w:sz w:val="24"/>
          <w:szCs w:val="24"/>
          <w:lang w:val="en-GB"/>
        </w:rPr>
        <w:t>information on the commissions established for merchants for payment card acceptance services.</w:t>
      </w:r>
    </w:p>
    <w:p w14:paraId="16461316" w14:textId="77777777" w:rsidR="004E6D8A" w:rsidRPr="0029408A" w:rsidRDefault="008D73DE"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Banks shall publish information related to lending conditions, which shall include, but not be limited to:</w:t>
      </w:r>
    </w:p>
    <w:p w14:paraId="1956DE3A"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1) </w:t>
      </w:r>
      <w:r w:rsidR="00931056" w:rsidRPr="0029408A">
        <w:rPr>
          <w:rFonts w:ascii="Times New Roman" w:eastAsia="Times New Roman" w:hAnsi="Times New Roman"/>
          <w:color w:val="000000"/>
          <w:sz w:val="24"/>
          <w:szCs w:val="24"/>
          <w:lang w:val="en-GB"/>
        </w:rPr>
        <w:t xml:space="preserve">general characteristics of each type of credit </w:t>
      </w:r>
      <w:proofErr w:type="gramStart"/>
      <w:r w:rsidR="00931056" w:rsidRPr="0029408A">
        <w:rPr>
          <w:rFonts w:ascii="Times New Roman" w:eastAsia="Times New Roman" w:hAnsi="Times New Roman"/>
          <w:color w:val="000000"/>
          <w:sz w:val="24"/>
          <w:szCs w:val="24"/>
          <w:lang w:val="en-GB"/>
        </w:rPr>
        <w:t>granted;</w:t>
      </w:r>
      <w:proofErr w:type="gramEnd"/>
    </w:p>
    <w:p w14:paraId="3498297E"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2) </w:t>
      </w:r>
      <w:r w:rsidR="00931056" w:rsidRPr="0029408A">
        <w:rPr>
          <w:rFonts w:ascii="Times New Roman" w:eastAsia="Times New Roman" w:hAnsi="Times New Roman"/>
          <w:color w:val="000000"/>
          <w:sz w:val="24"/>
          <w:szCs w:val="24"/>
          <w:lang w:val="en-GB"/>
        </w:rPr>
        <w:t>conditions for granting credits, according to Annex no. 5 of this Regulation, which shall include, but not be limited to:</w:t>
      </w:r>
    </w:p>
    <w:p w14:paraId="4C7C991F"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a) </w:t>
      </w:r>
      <w:r w:rsidR="00311E10" w:rsidRPr="0029408A">
        <w:rPr>
          <w:rFonts w:ascii="Times New Roman" w:eastAsia="Times New Roman" w:hAnsi="Times New Roman"/>
          <w:color w:val="000000"/>
          <w:sz w:val="24"/>
          <w:szCs w:val="24"/>
          <w:lang w:val="en-GB"/>
        </w:rPr>
        <w:t xml:space="preserve">credit </w:t>
      </w:r>
      <w:proofErr w:type="gramStart"/>
      <w:r w:rsidR="00311E10" w:rsidRPr="0029408A">
        <w:rPr>
          <w:rFonts w:ascii="Times New Roman" w:eastAsia="Times New Roman" w:hAnsi="Times New Roman"/>
          <w:color w:val="000000"/>
          <w:sz w:val="24"/>
          <w:szCs w:val="24"/>
          <w:lang w:val="en-GB"/>
        </w:rPr>
        <w:t>currency;</w:t>
      </w:r>
      <w:proofErr w:type="gramEnd"/>
    </w:p>
    <w:p w14:paraId="630B05A3"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b) </w:t>
      </w:r>
      <w:r w:rsidR="00317B5C" w:rsidRPr="0029408A">
        <w:rPr>
          <w:rFonts w:ascii="Times New Roman" w:eastAsia="Times New Roman" w:hAnsi="Times New Roman"/>
          <w:color w:val="000000"/>
          <w:sz w:val="24"/>
          <w:szCs w:val="24"/>
          <w:lang w:val="en-GB"/>
        </w:rPr>
        <w:t>total amount of credit in national currency (minimum/maximum)/total amount of credit in foreign currency (minimum/maximum</w:t>
      </w:r>
      <w:proofErr w:type="gramStart"/>
      <w:r w:rsidR="00317B5C" w:rsidRPr="0029408A">
        <w:rPr>
          <w:rFonts w:ascii="Times New Roman" w:eastAsia="Times New Roman" w:hAnsi="Times New Roman"/>
          <w:color w:val="000000"/>
          <w:sz w:val="24"/>
          <w:szCs w:val="24"/>
          <w:lang w:val="en-GB"/>
        </w:rPr>
        <w:t>);</w:t>
      </w:r>
      <w:proofErr w:type="gramEnd"/>
    </w:p>
    <w:p w14:paraId="38E43414"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c) </w:t>
      </w:r>
      <w:r w:rsidR="00317B5C" w:rsidRPr="0029408A">
        <w:rPr>
          <w:rFonts w:ascii="Times New Roman" w:eastAsia="Times New Roman" w:hAnsi="Times New Roman"/>
          <w:color w:val="000000"/>
          <w:sz w:val="24"/>
          <w:szCs w:val="24"/>
          <w:lang w:val="en-GB"/>
        </w:rPr>
        <w:t xml:space="preserve">interest rate on credit, fixed/floating, in national currency (minimum/maximum)/in foreign currency (minimum/maximum) and the method of calculating the interest rate by at least two representative </w:t>
      </w:r>
      <w:proofErr w:type="gramStart"/>
      <w:r w:rsidR="00317B5C" w:rsidRPr="0029408A">
        <w:rPr>
          <w:rFonts w:ascii="Times New Roman" w:eastAsia="Times New Roman" w:hAnsi="Times New Roman"/>
          <w:color w:val="000000"/>
          <w:sz w:val="24"/>
          <w:szCs w:val="24"/>
          <w:lang w:val="en-GB"/>
        </w:rPr>
        <w:t>examples;</w:t>
      </w:r>
      <w:proofErr w:type="gramEnd"/>
    </w:p>
    <w:p w14:paraId="25AEB264"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d) </w:t>
      </w:r>
      <w:r w:rsidR="00317B5C" w:rsidRPr="0029408A">
        <w:rPr>
          <w:rFonts w:ascii="Times New Roman" w:eastAsia="Times New Roman" w:hAnsi="Times New Roman"/>
          <w:color w:val="000000"/>
          <w:sz w:val="24"/>
          <w:szCs w:val="24"/>
          <w:lang w:val="en-GB"/>
        </w:rPr>
        <w:t>period of contract validity of the credit in national currency (minimum/maximum)/period of contract validity of the credit in foreign currency (minimum/maximum</w:t>
      </w:r>
      <w:proofErr w:type="gramStart"/>
      <w:r w:rsidR="00317B5C" w:rsidRPr="0029408A">
        <w:rPr>
          <w:rFonts w:ascii="Times New Roman" w:eastAsia="Times New Roman" w:hAnsi="Times New Roman"/>
          <w:color w:val="000000"/>
          <w:sz w:val="24"/>
          <w:szCs w:val="24"/>
          <w:lang w:val="en-GB"/>
        </w:rPr>
        <w:t>);</w:t>
      </w:r>
      <w:proofErr w:type="gramEnd"/>
    </w:p>
    <w:p w14:paraId="39FE78FA"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e) </w:t>
      </w:r>
      <w:r w:rsidR="00317B5C" w:rsidRPr="0029408A">
        <w:rPr>
          <w:rFonts w:ascii="Times New Roman" w:eastAsia="Times New Roman" w:hAnsi="Times New Roman"/>
          <w:color w:val="000000"/>
          <w:sz w:val="24"/>
          <w:szCs w:val="24"/>
          <w:lang w:val="en-GB"/>
        </w:rPr>
        <w:t xml:space="preserve">other payments than the interest rate of the credit in national currency/foreign currency, which are included in total cost of </w:t>
      </w:r>
      <w:proofErr w:type="gramStart"/>
      <w:r w:rsidR="00317B5C" w:rsidRPr="0029408A">
        <w:rPr>
          <w:rFonts w:ascii="Times New Roman" w:eastAsia="Times New Roman" w:hAnsi="Times New Roman"/>
          <w:color w:val="000000"/>
          <w:sz w:val="24"/>
          <w:szCs w:val="24"/>
          <w:lang w:val="en-GB"/>
        </w:rPr>
        <w:t>credit;</w:t>
      </w:r>
      <w:proofErr w:type="gramEnd"/>
    </w:p>
    <w:p w14:paraId="7273CFB5"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f) </w:t>
      </w:r>
      <w:r w:rsidR="002A3C73" w:rsidRPr="0029408A">
        <w:rPr>
          <w:rFonts w:ascii="Times New Roman" w:eastAsia="Times New Roman" w:hAnsi="Times New Roman"/>
          <w:color w:val="000000"/>
          <w:sz w:val="24"/>
          <w:szCs w:val="24"/>
          <w:lang w:val="en-GB"/>
        </w:rPr>
        <w:t xml:space="preserve">actual annual interest rate of the credit in national currency/foreign currency and information referred to in Article 4 </w:t>
      </w:r>
      <w:r w:rsidR="007D3105" w:rsidRPr="0029408A">
        <w:rPr>
          <w:rFonts w:ascii="Times New Roman" w:eastAsia="Times New Roman" w:hAnsi="Times New Roman"/>
          <w:color w:val="000000"/>
          <w:sz w:val="24"/>
          <w:szCs w:val="24"/>
          <w:lang w:val="en-GB"/>
        </w:rPr>
        <w:t>point</w:t>
      </w:r>
      <w:r w:rsidR="002A3C73" w:rsidRPr="0029408A">
        <w:rPr>
          <w:rFonts w:ascii="Times New Roman" w:eastAsia="Times New Roman" w:hAnsi="Times New Roman"/>
          <w:color w:val="000000"/>
          <w:sz w:val="24"/>
          <w:szCs w:val="24"/>
          <w:lang w:val="en-GB"/>
        </w:rPr>
        <w:t xml:space="preserve"> (3) of Law no. 202/2013, as </w:t>
      </w:r>
      <w:proofErr w:type="gramStart"/>
      <w:r w:rsidR="002A3C73" w:rsidRPr="0029408A">
        <w:rPr>
          <w:rFonts w:ascii="Times New Roman" w:eastAsia="Times New Roman" w:hAnsi="Times New Roman"/>
          <w:color w:val="000000"/>
          <w:sz w:val="24"/>
          <w:szCs w:val="24"/>
          <w:lang w:val="en-GB"/>
        </w:rPr>
        <w:t>appropriate;</w:t>
      </w:r>
      <w:proofErr w:type="gramEnd"/>
    </w:p>
    <w:p w14:paraId="5FF43821"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g) </w:t>
      </w:r>
      <w:r w:rsidR="007734AD" w:rsidRPr="0029408A">
        <w:rPr>
          <w:rFonts w:ascii="Times New Roman" w:eastAsia="Times New Roman" w:hAnsi="Times New Roman"/>
          <w:color w:val="000000"/>
          <w:sz w:val="24"/>
          <w:szCs w:val="24"/>
          <w:lang w:val="en-GB"/>
        </w:rPr>
        <w:t xml:space="preserve">manner (annuities, rates, bullet payment) and frequency of </w:t>
      </w:r>
      <w:proofErr w:type="gramStart"/>
      <w:r w:rsidR="007734AD" w:rsidRPr="0029408A">
        <w:rPr>
          <w:rFonts w:ascii="Times New Roman" w:eastAsia="Times New Roman" w:hAnsi="Times New Roman"/>
          <w:color w:val="000000"/>
          <w:sz w:val="24"/>
          <w:szCs w:val="24"/>
          <w:lang w:val="en-GB"/>
        </w:rPr>
        <w:t>payments;</w:t>
      </w:r>
      <w:proofErr w:type="gramEnd"/>
    </w:p>
    <w:p w14:paraId="371A410D"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h) </w:t>
      </w:r>
      <w:r w:rsidR="007734AD" w:rsidRPr="0029408A">
        <w:rPr>
          <w:rFonts w:ascii="Times New Roman" w:eastAsia="Times New Roman" w:hAnsi="Times New Roman"/>
          <w:color w:val="000000"/>
          <w:sz w:val="24"/>
          <w:szCs w:val="24"/>
          <w:lang w:val="en-GB"/>
        </w:rPr>
        <w:t xml:space="preserve">documents necessary to obtain a </w:t>
      </w:r>
      <w:proofErr w:type="gramStart"/>
      <w:r w:rsidR="007734AD" w:rsidRPr="0029408A">
        <w:rPr>
          <w:rFonts w:ascii="Times New Roman" w:eastAsia="Times New Roman" w:hAnsi="Times New Roman"/>
          <w:color w:val="000000"/>
          <w:sz w:val="24"/>
          <w:szCs w:val="24"/>
          <w:lang w:val="en-GB"/>
        </w:rPr>
        <w:t>credit;</w:t>
      </w:r>
      <w:proofErr w:type="gramEnd"/>
    </w:p>
    <w:p w14:paraId="053E5B41"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i) </w:t>
      </w:r>
      <w:r w:rsidR="007734AD" w:rsidRPr="0029408A">
        <w:rPr>
          <w:rFonts w:ascii="Times New Roman" w:eastAsia="Times New Roman" w:hAnsi="Times New Roman"/>
          <w:color w:val="000000"/>
          <w:sz w:val="24"/>
          <w:szCs w:val="24"/>
          <w:lang w:val="en-GB"/>
        </w:rPr>
        <w:t xml:space="preserve">credit insurance forms accepted by the </w:t>
      </w:r>
      <w:proofErr w:type="gramStart"/>
      <w:r w:rsidR="007734AD" w:rsidRPr="0029408A">
        <w:rPr>
          <w:rFonts w:ascii="Times New Roman" w:eastAsia="Times New Roman" w:hAnsi="Times New Roman"/>
          <w:color w:val="000000"/>
          <w:sz w:val="24"/>
          <w:szCs w:val="24"/>
          <w:lang w:val="en-GB"/>
        </w:rPr>
        <w:t>bank;</w:t>
      </w:r>
      <w:proofErr w:type="gramEnd"/>
    </w:p>
    <w:p w14:paraId="443F83B0"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j) </w:t>
      </w:r>
      <w:r w:rsidR="007734AD" w:rsidRPr="0029408A">
        <w:rPr>
          <w:rFonts w:ascii="Times New Roman" w:eastAsia="Times New Roman" w:hAnsi="Times New Roman"/>
          <w:color w:val="000000"/>
          <w:sz w:val="24"/>
          <w:szCs w:val="24"/>
          <w:lang w:val="en-GB"/>
        </w:rPr>
        <w:t xml:space="preserve">effects of early reimbursement and penalties related to the credit </w:t>
      </w:r>
      <w:proofErr w:type="gramStart"/>
      <w:r w:rsidR="007734AD" w:rsidRPr="0029408A">
        <w:rPr>
          <w:rFonts w:ascii="Times New Roman" w:eastAsia="Times New Roman" w:hAnsi="Times New Roman"/>
          <w:color w:val="000000"/>
          <w:sz w:val="24"/>
          <w:szCs w:val="24"/>
          <w:lang w:val="en-GB"/>
        </w:rPr>
        <w:t>agreement;</w:t>
      </w:r>
      <w:proofErr w:type="gramEnd"/>
    </w:p>
    <w:p w14:paraId="53ABBDD2"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k) </w:t>
      </w:r>
      <w:r w:rsidR="007734AD" w:rsidRPr="0029408A">
        <w:rPr>
          <w:rFonts w:ascii="Times New Roman" w:eastAsia="Times New Roman" w:hAnsi="Times New Roman"/>
          <w:color w:val="000000"/>
          <w:sz w:val="24"/>
          <w:szCs w:val="24"/>
          <w:lang w:val="en-GB"/>
        </w:rPr>
        <w:t xml:space="preserve">conditions under which the interest rate may </w:t>
      </w:r>
      <w:proofErr w:type="gramStart"/>
      <w:r w:rsidR="007734AD" w:rsidRPr="0029408A">
        <w:rPr>
          <w:rFonts w:ascii="Times New Roman" w:eastAsia="Times New Roman" w:hAnsi="Times New Roman"/>
          <w:color w:val="000000"/>
          <w:sz w:val="24"/>
          <w:szCs w:val="24"/>
          <w:lang w:val="en-GB"/>
        </w:rPr>
        <w:t>change;</w:t>
      </w:r>
      <w:proofErr w:type="gramEnd"/>
    </w:p>
    <w:p w14:paraId="7E9DF4AE"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l) </w:t>
      </w:r>
      <w:r w:rsidR="00185864" w:rsidRPr="0029408A">
        <w:rPr>
          <w:rFonts w:ascii="Times New Roman" w:eastAsia="Times New Roman" w:hAnsi="Times New Roman"/>
          <w:color w:val="000000"/>
          <w:sz w:val="24"/>
          <w:szCs w:val="24"/>
          <w:lang w:val="en-GB"/>
        </w:rPr>
        <w:t xml:space="preserve">indication that the payments related to credits in foreign currency or in national currency, linked to foreign currency, will change depending on the exchange rate of MDL against foreign currencies, where payments will be made in national </w:t>
      </w:r>
      <w:proofErr w:type="gramStart"/>
      <w:r w:rsidR="00185864" w:rsidRPr="0029408A">
        <w:rPr>
          <w:rFonts w:ascii="Times New Roman" w:eastAsia="Times New Roman" w:hAnsi="Times New Roman"/>
          <w:color w:val="000000"/>
          <w:sz w:val="24"/>
          <w:szCs w:val="24"/>
          <w:lang w:val="en-GB"/>
        </w:rPr>
        <w:t>currency;</w:t>
      </w:r>
      <w:proofErr w:type="gramEnd"/>
    </w:p>
    <w:p w14:paraId="0CC0BDC9"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m) </w:t>
      </w:r>
      <w:r w:rsidR="00970EBA" w:rsidRPr="0029408A">
        <w:rPr>
          <w:rFonts w:ascii="Times New Roman" w:eastAsia="Times New Roman" w:hAnsi="Times New Roman"/>
          <w:color w:val="000000"/>
          <w:sz w:val="24"/>
          <w:szCs w:val="24"/>
          <w:lang w:val="en-GB"/>
        </w:rPr>
        <w:t xml:space="preserve">the way the exchange rate is applied to payments on credits in foreign currency or in national currency linked to foreign </w:t>
      </w:r>
      <w:proofErr w:type="gramStart"/>
      <w:r w:rsidR="00970EBA" w:rsidRPr="0029408A">
        <w:rPr>
          <w:rFonts w:ascii="Times New Roman" w:eastAsia="Times New Roman" w:hAnsi="Times New Roman"/>
          <w:color w:val="000000"/>
          <w:sz w:val="24"/>
          <w:szCs w:val="24"/>
          <w:lang w:val="en-GB"/>
        </w:rPr>
        <w:t>currency;</w:t>
      </w:r>
      <w:proofErr w:type="gramEnd"/>
    </w:p>
    <w:p w14:paraId="593D8430"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3) </w:t>
      </w:r>
      <w:r w:rsidR="00D63DA7" w:rsidRPr="0029408A">
        <w:rPr>
          <w:rFonts w:ascii="Times New Roman" w:eastAsia="Times New Roman" w:hAnsi="Times New Roman"/>
          <w:color w:val="000000"/>
          <w:sz w:val="24"/>
          <w:szCs w:val="24"/>
          <w:lang w:val="en-GB"/>
        </w:rPr>
        <w:t>existence of an instrument on the bank’s website designated to resolve equations in order to determine the total amount of credit (interest rate and other payments to be paid under sub-</w:t>
      </w:r>
      <w:r w:rsidR="007D3105" w:rsidRPr="0029408A">
        <w:rPr>
          <w:rFonts w:ascii="Times New Roman" w:eastAsia="Times New Roman" w:hAnsi="Times New Roman"/>
          <w:color w:val="000000"/>
          <w:sz w:val="24"/>
          <w:szCs w:val="24"/>
          <w:lang w:val="en-GB"/>
        </w:rPr>
        <w:t>point</w:t>
      </w:r>
      <w:r w:rsidR="00D63DA7" w:rsidRPr="0029408A">
        <w:rPr>
          <w:rFonts w:ascii="Times New Roman" w:eastAsia="Times New Roman" w:hAnsi="Times New Roman"/>
          <w:color w:val="000000"/>
          <w:sz w:val="24"/>
          <w:szCs w:val="24"/>
          <w:lang w:val="en-GB"/>
        </w:rPr>
        <w:t xml:space="preserve"> 2) letters d) and e) of this </w:t>
      </w:r>
      <w:r w:rsidR="007D3105" w:rsidRPr="0029408A">
        <w:rPr>
          <w:rFonts w:ascii="Times New Roman" w:eastAsia="Times New Roman" w:hAnsi="Times New Roman"/>
          <w:color w:val="000000"/>
          <w:sz w:val="24"/>
          <w:szCs w:val="24"/>
          <w:lang w:val="en-GB"/>
        </w:rPr>
        <w:t>point</w:t>
      </w:r>
      <w:r w:rsidR="00D63DA7" w:rsidRPr="0029408A">
        <w:rPr>
          <w:rFonts w:ascii="Times New Roman" w:eastAsia="Times New Roman" w:hAnsi="Times New Roman"/>
          <w:color w:val="000000"/>
          <w:sz w:val="24"/>
          <w:szCs w:val="24"/>
          <w:lang w:val="en-GB"/>
        </w:rPr>
        <w:t xml:space="preserve">). At the same time, this instrument shall provide the possibility to make calculations by period (monthly/quarterly) for products with fixed payment schedules, depending on the frequency of payments that are to be made by the client (payment of credit, interest rate, commissions, fees, etc.) and depending on the balance of credit. Total cost credit shall be determined </w:t>
      </w:r>
      <w:proofErr w:type="gramStart"/>
      <w:r w:rsidR="00D63DA7" w:rsidRPr="0029408A">
        <w:rPr>
          <w:rFonts w:ascii="Times New Roman" w:eastAsia="Times New Roman" w:hAnsi="Times New Roman"/>
          <w:color w:val="000000"/>
          <w:sz w:val="24"/>
          <w:szCs w:val="24"/>
          <w:lang w:val="en-GB"/>
        </w:rPr>
        <w:t>taking into account</w:t>
      </w:r>
      <w:proofErr w:type="gramEnd"/>
      <w:r w:rsidR="00D63DA7" w:rsidRPr="0029408A">
        <w:rPr>
          <w:rFonts w:ascii="Times New Roman" w:eastAsia="Times New Roman" w:hAnsi="Times New Roman"/>
          <w:color w:val="000000"/>
          <w:sz w:val="24"/>
          <w:szCs w:val="24"/>
          <w:lang w:val="en-GB"/>
        </w:rPr>
        <w:t xml:space="preserve"> the conditions existing before the credit agreement conclusion (total amount of credit, reimbursement terms, effective interest rate, etc.).</w:t>
      </w:r>
    </w:p>
    <w:p w14:paraId="2804F9CF" w14:textId="77777777" w:rsidR="004E6D8A" w:rsidRPr="0029408A" w:rsidRDefault="002626FF"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Bank</w:t>
      </w:r>
      <w:r w:rsidR="00B35FA7" w:rsidRPr="0029408A">
        <w:rPr>
          <w:color w:val="000000"/>
          <w:lang w:val="en-GB"/>
        </w:rPr>
        <w:t>s</w:t>
      </w:r>
      <w:r w:rsidRPr="0029408A">
        <w:rPr>
          <w:color w:val="000000"/>
          <w:lang w:val="en-GB"/>
        </w:rPr>
        <w:t xml:space="preserve"> shall publish information related to the conditions for carrying out foreign exchange operations, according to Art. 43 paragraphs (11) and (12) of Law no. 62/2008 on foreign exchange regulation </w:t>
      </w:r>
      <w:r w:rsidR="00B01026" w:rsidRPr="0029408A">
        <w:rPr>
          <w:color w:val="000000"/>
          <w:lang w:val="en-GB"/>
        </w:rPr>
        <w:t>which shall include, but not be limited to:</w:t>
      </w:r>
    </w:p>
    <w:p w14:paraId="61F041E7"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1) </w:t>
      </w:r>
      <w:r w:rsidR="00B01026" w:rsidRPr="0029408A">
        <w:rPr>
          <w:rFonts w:ascii="Times New Roman" w:eastAsia="Times New Roman" w:hAnsi="Times New Roman"/>
          <w:color w:val="000000"/>
          <w:sz w:val="24"/>
          <w:szCs w:val="24"/>
          <w:lang w:val="en-GB"/>
        </w:rPr>
        <w:t xml:space="preserve">conditions under which foreign exchange operations are </w:t>
      </w:r>
      <w:proofErr w:type="gramStart"/>
      <w:r w:rsidR="00B01026" w:rsidRPr="0029408A">
        <w:rPr>
          <w:rFonts w:ascii="Times New Roman" w:eastAsia="Times New Roman" w:hAnsi="Times New Roman"/>
          <w:color w:val="000000"/>
          <w:sz w:val="24"/>
          <w:szCs w:val="24"/>
          <w:lang w:val="en-GB"/>
        </w:rPr>
        <w:t>performed;</w:t>
      </w:r>
      <w:proofErr w:type="gramEnd"/>
    </w:p>
    <w:p w14:paraId="591D349A"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2) </w:t>
      </w:r>
      <w:proofErr w:type="gramStart"/>
      <w:r w:rsidR="00B01026" w:rsidRPr="0029408A">
        <w:rPr>
          <w:rFonts w:ascii="Times New Roman" w:eastAsia="Times New Roman" w:hAnsi="Times New Roman"/>
          <w:color w:val="000000"/>
          <w:sz w:val="24"/>
          <w:szCs w:val="24"/>
          <w:lang w:val="en-GB"/>
        </w:rPr>
        <w:t>amount</w:t>
      </w:r>
      <w:proofErr w:type="gramEnd"/>
      <w:r w:rsidR="00B01026" w:rsidRPr="0029408A">
        <w:rPr>
          <w:rFonts w:ascii="Times New Roman" w:eastAsia="Times New Roman" w:hAnsi="Times New Roman"/>
          <w:color w:val="000000"/>
          <w:sz w:val="24"/>
          <w:szCs w:val="24"/>
          <w:lang w:val="en-GB"/>
        </w:rPr>
        <w:t xml:space="preserve"> of commissions and other related payments.</w:t>
      </w:r>
    </w:p>
    <w:p w14:paraId="5077D12F" w14:textId="77777777" w:rsidR="004E6D8A" w:rsidRPr="0029408A" w:rsidRDefault="00B35FA7"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lastRenderedPageBreak/>
        <w:t>Banks shall publish</w:t>
      </w:r>
      <w:r w:rsidR="005F116A" w:rsidRPr="0029408A">
        <w:rPr>
          <w:color w:val="000000"/>
          <w:lang w:val="en-GB"/>
        </w:rPr>
        <w:t xml:space="preserve"> information related to conditions under which payments/transfers (international transfers) to/from abroad are carried out, except for the remittances, which shall include, but not be limited to:</w:t>
      </w:r>
    </w:p>
    <w:p w14:paraId="1FA0DEBA"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1) </w:t>
      </w:r>
      <w:r w:rsidR="00FE2EF4" w:rsidRPr="0029408A">
        <w:rPr>
          <w:rFonts w:ascii="Times New Roman" w:eastAsia="Times New Roman" w:hAnsi="Times New Roman"/>
          <w:color w:val="000000"/>
          <w:sz w:val="24"/>
          <w:szCs w:val="24"/>
          <w:lang w:val="en-GB"/>
        </w:rPr>
        <w:t xml:space="preserve">conditions under which international transfers are carried </w:t>
      </w:r>
      <w:proofErr w:type="gramStart"/>
      <w:r w:rsidR="00FE2EF4" w:rsidRPr="0029408A">
        <w:rPr>
          <w:rFonts w:ascii="Times New Roman" w:eastAsia="Times New Roman" w:hAnsi="Times New Roman"/>
          <w:color w:val="000000"/>
          <w:sz w:val="24"/>
          <w:szCs w:val="24"/>
          <w:lang w:val="en-GB"/>
        </w:rPr>
        <w:t>out;</w:t>
      </w:r>
      <w:proofErr w:type="gramEnd"/>
    </w:p>
    <w:p w14:paraId="798D5990"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2) </w:t>
      </w:r>
      <w:r w:rsidR="00FE2EF4" w:rsidRPr="0029408A">
        <w:rPr>
          <w:rFonts w:ascii="Times New Roman" w:eastAsia="Times New Roman" w:hAnsi="Times New Roman"/>
          <w:color w:val="000000"/>
          <w:sz w:val="24"/>
          <w:szCs w:val="24"/>
          <w:lang w:val="en-GB"/>
        </w:rPr>
        <w:t xml:space="preserve">ways of making payments/transfers to/from </w:t>
      </w:r>
      <w:proofErr w:type="gramStart"/>
      <w:r w:rsidR="00FE2EF4" w:rsidRPr="0029408A">
        <w:rPr>
          <w:rFonts w:ascii="Times New Roman" w:eastAsia="Times New Roman" w:hAnsi="Times New Roman"/>
          <w:color w:val="000000"/>
          <w:sz w:val="24"/>
          <w:szCs w:val="24"/>
          <w:lang w:val="en-GB"/>
        </w:rPr>
        <w:t>abroad;</w:t>
      </w:r>
      <w:proofErr w:type="gramEnd"/>
    </w:p>
    <w:p w14:paraId="3EB1DAE7"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3) </w:t>
      </w:r>
      <w:r w:rsidR="005F116A" w:rsidRPr="0029408A">
        <w:rPr>
          <w:rFonts w:ascii="Times New Roman" w:eastAsia="Times New Roman" w:hAnsi="Times New Roman"/>
          <w:color w:val="000000"/>
          <w:sz w:val="24"/>
          <w:szCs w:val="24"/>
          <w:lang w:val="en-GB"/>
        </w:rPr>
        <w:t xml:space="preserve">currency of payment/transfer to/from </w:t>
      </w:r>
      <w:proofErr w:type="gramStart"/>
      <w:r w:rsidR="005F116A" w:rsidRPr="0029408A">
        <w:rPr>
          <w:rFonts w:ascii="Times New Roman" w:eastAsia="Times New Roman" w:hAnsi="Times New Roman"/>
          <w:color w:val="000000"/>
          <w:sz w:val="24"/>
          <w:szCs w:val="24"/>
          <w:lang w:val="en-GB"/>
        </w:rPr>
        <w:t>abroad;</w:t>
      </w:r>
      <w:proofErr w:type="gramEnd"/>
    </w:p>
    <w:p w14:paraId="4827B7D8"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4) </w:t>
      </w:r>
      <w:proofErr w:type="gramStart"/>
      <w:r w:rsidR="00A856C8" w:rsidRPr="0029408A">
        <w:rPr>
          <w:rFonts w:ascii="Times New Roman" w:eastAsia="Times New Roman" w:hAnsi="Times New Roman"/>
          <w:color w:val="000000"/>
          <w:sz w:val="24"/>
          <w:szCs w:val="24"/>
          <w:lang w:val="en-GB"/>
        </w:rPr>
        <w:t>amount</w:t>
      </w:r>
      <w:proofErr w:type="gramEnd"/>
      <w:r w:rsidR="00A856C8" w:rsidRPr="0029408A">
        <w:rPr>
          <w:rFonts w:ascii="Times New Roman" w:eastAsia="Times New Roman" w:hAnsi="Times New Roman"/>
          <w:color w:val="000000"/>
          <w:sz w:val="24"/>
          <w:szCs w:val="24"/>
          <w:lang w:val="en-GB"/>
        </w:rPr>
        <w:t xml:space="preserve"> of commissions and other related </w:t>
      </w:r>
      <w:proofErr w:type="gramStart"/>
      <w:r w:rsidR="00A856C8" w:rsidRPr="0029408A">
        <w:rPr>
          <w:rFonts w:ascii="Times New Roman" w:eastAsia="Times New Roman" w:hAnsi="Times New Roman"/>
          <w:color w:val="000000"/>
          <w:sz w:val="24"/>
          <w:szCs w:val="24"/>
          <w:lang w:val="en-GB"/>
        </w:rPr>
        <w:t>payments;</w:t>
      </w:r>
      <w:proofErr w:type="gramEnd"/>
    </w:p>
    <w:p w14:paraId="36C4B0D6"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5) </w:t>
      </w:r>
      <w:r w:rsidR="00A856C8" w:rsidRPr="0029408A">
        <w:rPr>
          <w:rFonts w:ascii="Times New Roman" w:eastAsia="Times New Roman" w:hAnsi="Times New Roman"/>
          <w:color w:val="000000"/>
          <w:sz w:val="24"/>
          <w:szCs w:val="24"/>
          <w:lang w:val="en-GB"/>
        </w:rPr>
        <w:t>available information on all types of commissions or payments to be charged/may be charged by foreign banks through which international transfers are carried out, as well as the amount of such commissions.</w:t>
      </w:r>
    </w:p>
    <w:p w14:paraId="32C0D3A4" w14:textId="77777777" w:rsidR="004E6D8A" w:rsidRPr="0029408A" w:rsidRDefault="005F0B0F"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 xml:space="preserve">Banks shall publish information related to the provision of money remittance services, according to the requirements set out in </w:t>
      </w:r>
      <w:r w:rsidR="007D3105" w:rsidRPr="0029408A">
        <w:rPr>
          <w:color w:val="000000"/>
          <w:lang w:val="en-GB"/>
        </w:rPr>
        <w:t>point</w:t>
      </w:r>
      <w:r w:rsidRPr="0029408A">
        <w:rPr>
          <w:color w:val="000000"/>
          <w:lang w:val="en-GB"/>
        </w:rPr>
        <w:t xml:space="preserve"> 23 of the Regulation on the activity of payment service providers within money remittance systems, approved by the Decision of the Board of Directors of the National Bank of Moldova no. 204 of October 15, 2010.</w:t>
      </w:r>
    </w:p>
    <w:p w14:paraId="2A840283" w14:textId="77777777" w:rsidR="004E6D8A" w:rsidRPr="0029408A" w:rsidRDefault="00977A0D"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Banks shall publish information about other products and banking services offered by the bank, which shall include, but not be limited to:</w:t>
      </w:r>
    </w:p>
    <w:p w14:paraId="25611D74"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1) </w:t>
      </w:r>
      <w:r w:rsidR="00977A0D" w:rsidRPr="0029408A">
        <w:rPr>
          <w:rFonts w:ascii="Times New Roman" w:eastAsia="Times New Roman" w:hAnsi="Times New Roman"/>
          <w:color w:val="000000"/>
          <w:sz w:val="24"/>
          <w:szCs w:val="24"/>
          <w:lang w:val="en-GB"/>
        </w:rPr>
        <w:t xml:space="preserve">characteristics of goods and </w:t>
      </w:r>
      <w:proofErr w:type="gramStart"/>
      <w:r w:rsidR="00977A0D" w:rsidRPr="0029408A">
        <w:rPr>
          <w:rFonts w:ascii="Times New Roman" w:eastAsia="Times New Roman" w:hAnsi="Times New Roman"/>
          <w:color w:val="000000"/>
          <w:sz w:val="24"/>
          <w:szCs w:val="24"/>
          <w:lang w:val="en-GB"/>
        </w:rPr>
        <w:t>services;</w:t>
      </w:r>
      <w:proofErr w:type="gramEnd"/>
    </w:p>
    <w:p w14:paraId="19B3B805"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2) </w:t>
      </w:r>
      <w:r w:rsidR="00977A0D" w:rsidRPr="0029408A">
        <w:rPr>
          <w:rFonts w:ascii="Times New Roman" w:eastAsia="Times New Roman" w:hAnsi="Times New Roman"/>
          <w:color w:val="000000"/>
          <w:sz w:val="24"/>
          <w:szCs w:val="24"/>
          <w:lang w:val="en-GB"/>
        </w:rPr>
        <w:t xml:space="preserve">services provision </w:t>
      </w:r>
      <w:proofErr w:type="gramStart"/>
      <w:r w:rsidR="00977A0D" w:rsidRPr="0029408A">
        <w:rPr>
          <w:rFonts w:ascii="Times New Roman" w:eastAsia="Times New Roman" w:hAnsi="Times New Roman"/>
          <w:color w:val="000000"/>
          <w:sz w:val="24"/>
          <w:szCs w:val="24"/>
          <w:lang w:val="en-GB"/>
        </w:rPr>
        <w:t>conditions;</w:t>
      </w:r>
      <w:proofErr w:type="gramEnd"/>
    </w:p>
    <w:p w14:paraId="1EA7593B"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3) </w:t>
      </w:r>
      <w:r w:rsidR="00977A0D" w:rsidRPr="0029408A">
        <w:rPr>
          <w:rFonts w:ascii="Times New Roman" w:eastAsia="Times New Roman" w:hAnsi="Times New Roman"/>
          <w:color w:val="000000"/>
          <w:sz w:val="24"/>
          <w:szCs w:val="24"/>
          <w:lang w:val="en-GB"/>
        </w:rPr>
        <w:t>specifying the fees and interest rates, as appropriate, including commissions charged, as well as their amount and time of payment.</w:t>
      </w:r>
    </w:p>
    <w:p w14:paraId="1516F5DE" w14:textId="77777777" w:rsidR="004E6D8A" w:rsidRPr="0029408A" w:rsidRDefault="003707FC"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Publication of information on interest rate and other payments related to the credit/deposit shall include information about specific conditions, objective criteria and, where appropriate, benchmark index applicable to the initial interest rate of credit, and the notification method and terms in case of interest rate and/or other payments changes.</w:t>
      </w:r>
    </w:p>
    <w:p w14:paraId="2CE2F96D" w14:textId="77777777" w:rsidR="004E6D8A" w:rsidRPr="0029408A" w:rsidRDefault="003707FC"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Interest rates, commissions, fees and other payments for the provision of banking services and banking products shall be published with the same font size that was used in the disclosure of other information.</w:t>
      </w:r>
    </w:p>
    <w:p w14:paraId="1A8791C8"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p>
    <w:p w14:paraId="5DF06E8F" w14:textId="77777777" w:rsidR="00BE6639" w:rsidRPr="0029408A" w:rsidRDefault="00BE6639" w:rsidP="00BE6639">
      <w:pPr>
        <w:tabs>
          <w:tab w:val="left" w:pos="1134"/>
        </w:tabs>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Chapter VI</w:t>
      </w:r>
    </w:p>
    <w:p w14:paraId="6BCE5A09" w14:textId="77777777" w:rsidR="004E6D8A" w:rsidRPr="0029408A" w:rsidRDefault="00BE6639" w:rsidP="00BE6639">
      <w:pPr>
        <w:tabs>
          <w:tab w:val="left" w:pos="1134"/>
        </w:tabs>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PUBLICATION OF INFORMATION ON BANK GOVERNANCE</w:t>
      </w:r>
    </w:p>
    <w:p w14:paraId="6660EF4C" w14:textId="77777777" w:rsidR="00D8441F" w:rsidRPr="0029408A" w:rsidRDefault="003D2C7C"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Banks shall publish the corporate governance code and the statute of the bank, as amended and supplemented.</w:t>
      </w:r>
    </w:p>
    <w:p w14:paraId="2FC92355" w14:textId="77777777" w:rsidR="004E6D8A" w:rsidRPr="0029408A" w:rsidRDefault="003E6980" w:rsidP="00117403">
      <w:pPr>
        <w:pStyle w:val="tt"/>
        <w:numPr>
          <w:ilvl w:val="0"/>
          <w:numId w:val="12"/>
        </w:numPr>
        <w:tabs>
          <w:tab w:val="left" w:pos="567"/>
        </w:tabs>
        <w:spacing w:before="0" w:beforeAutospacing="0" w:after="0" w:afterAutospacing="0"/>
        <w:ind w:left="0" w:firstLine="0"/>
        <w:jc w:val="both"/>
        <w:rPr>
          <w:b/>
          <w:color w:val="000000"/>
          <w:lang w:val="en-GB"/>
        </w:rPr>
      </w:pPr>
      <w:bookmarkStart w:id="2" w:name="_Ref18328919"/>
      <w:r w:rsidRPr="0029408A">
        <w:rPr>
          <w:color w:val="000000"/>
          <w:lang w:val="en-GB"/>
        </w:rPr>
        <w:t>Banks shall publish information regarding the right to carry out activities by posting at the bank's headquarters and on the bank's website a copy of the license, confirmed by the signature of the responsible person within the bank. At the branches and secondary offices (agencies, foreign exchange offices) of the bank are displayed the copies confirmed by the signature of the person in charge within the bank of the copies authorized by the National Bank on the license. In the case of branches and agencies, the list of activities permitted by their internal regulations is also displayed</w:t>
      </w:r>
      <w:r w:rsidR="004E6D8A" w:rsidRPr="0029408A">
        <w:rPr>
          <w:color w:val="000000"/>
          <w:lang w:val="en-GB"/>
        </w:rPr>
        <w:t>.</w:t>
      </w:r>
      <w:bookmarkEnd w:id="2"/>
    </w:p>
    <w:p w14:paraId="525D3CDC" w14:textId="77777777" w:rsidR="004E6D8A" w:rsidRPr="0029408A" w:rsidRDefault="00A83C43"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Banks shall publish at least information on outsourcing of activities of material importance, date of outsourcing, name of the supplier, its role in the activities/operations outsourced.</w:t>
      </w:r>
    </w:p>
    <w:p w14:paraId="5DF49A9D" w14:textId="77777777" w:rsidR="004E6D8A" w:rsidRPr="0029408A" w:rsidRDefault="002E5D0D"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Banks shall publish information on their organizational structure, including the name of the existing specialized committees, indicating their subordination, considering the competence of management bodies of banks in accordance with the legislation in force, the list of branches, representative offices and secondary offices, indicating the name and address thereof.</w:t>
      </w:r>
    </w:p>
    <w:p w14:paraId="0BDC58F2" w14:textId="77777777" w:rsidR="004E6D8A" w:rsidRPr="0029408A" w:rsidRDefault="0087613F"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Banks shall publish information on the members of the Board and the Executive Body in accordance with Annex no.6, which shall include, but not be limited to:</w:t>
      </w:r>
    </w:p>
    <w:p w14:paraId="1F4D0293"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lastRenderedPageBreak/>
        <w:t xml:space="preserve">1) </w:t>
      </w:r>
      <w:r w:rsidR="0087613F" w:rsidRPr="0029408A">
        <w:rPr>
          <w:rFonts w:ascii="Times New Roman" w:eastAsia="Times New Roman" w:hAnsi="Times New Roman"/>
          <w:color w:val="000000"/>
          <w:sz w:val="24"/>
          <w:szCs w:val="24"/>
          <w:lang w:val="en-GB"/>
        </w:rPr>
        <w:t xml:space="preserve">general information about the members of the Board, Executive Body: name, surname, position, date of confirmation by the National Bank, position(s) held within the bank, as the case may be, the qualified holding held in the share capital of the </w:t>
      </w:r>
      <w:proofErr w:type="gramStart"/>
      <w:r w:rsidR="0087613F" w:rsidRPr="0029408A">
        <w:rPr>
          <w:rFonts w:ascii="Times New Roman" w:eastAsia="Times New Roman" w:hAnsi="Times New Roman"/>
          <w:color w:val="000000"/>
          <w:sz w:val="24"/>
          <w:szCs w:val="24"/>
          <w:lang w:val="en-GB"/>
        </w:rPr>
        <w:t>bank;</w:t>
      </w:r>
      <w:proofErr w:type="gramEnd"/>
    </w:p>
    <w:p w14:paraId="68687FE4"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2) </w:t>
      </w:r>
      <w:r w:rsidR="0078323A" w:rsidRPr="0029408A">
        <w:rPr>
          <w:rFonts w:ascii="Times New Roman" w:eastAsia="Times New Roman" w:hAnsi="Times New Roman"/>
          <w:color w:val="000000"/>
          <w:sz w:val="24"/>
          <w:szCs w:val="24"/>
          <w:lang w:val="en-GB"/>
        </w:rPr>
        <w:t>other data on theoretical and practical experience of members of the Board, Executive Body: work experience in the past 5 years, education (university studies, postgraduate studies, trainings in the last 5 years).</w:t>
      </w:r>
    </w:p>
    <w:p w14:paraId="0BFF3A67" w14:textId="77777777" w:rsidR="004E6D8A" w:rsidRPr="0029408A" w:rsidRDefault="00144BB2"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Banks shall publish information relating to shareholders and / or groups of persons acting in concert holding qualified holdings in the share capital of the bank and the beneficial owners of such persons in accordance with Annex 7, which shall include, but not be limited to:</w:t>
      </w:r>
    </w:p>
    <w:p w14:paraId="59703C76"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1) </w:t>
      </w:r>
      <w:r w:rsidR="00144BB2" w:rsidRPr="0029408A">
        <w:rPr>
          <w:rFonts w:ascii="Times New Roman" w:eastAsia="Times New Roman" w:hAnsi="Times New Roman"/>
          <w:color w:val="000000"/>
          <w:sz w:val="24"/>
          <w:szCs w:val="24"/>
          <w:lang w:val="en-GB"/>
        </w:rPr>
        <w:t xml:space="preserve">general information about direct holders of qualifying holdings: name, surname/name of shareholders, country of residence, number of </w:t>
      </w:r>
      <w:proofErr w:type="gramStart"/>
      <w:r w:rsidR="00144BB2" w:rsidRPr="0029408A">
        <w:rPr>
          <w:rFonts w:ascii="Times New Roman" w:eastAsia="Times New Roman" w:hAnsi="Times New Roman"/>
          <w:color w:val="000000"/>
          <w:sz w:val="24"/>
          <w:szCs w:val="24"/>
          <w:lang w:val="en-GB"/>
        </w:rPr>
        <w:t>group</w:t>
      </w:r>
      <w:proofErr w:type="gramEnd"/>
      <w:r w:rsidR="00144BB2" w:rsidRPr="0029408A">
        <w:rPr>
          <w:rFonts w:ascii="Times New Roman" w:eastAsia="Times New Roman" w:hAnsi="Times New Roman"/>
          <w:color w:val="000000"/>
          <w:sz w:val="24"/>
          <w:szCs w:val="24"/>
          <w:lang w:val="en-GB"/>
        </w:rPr>
        <w:t xml:space="preserve">, shareholding, voting </w:t>
      </w:r>
      <w:proofErr w:type="gramStart"/>
      <w:r w:rsidR="00144BB2" w:rsidRPr="0029408A">
        <w:rPr>
          <w:rFonts w:ascii="Times New Roman" w:eastAsia="Times New Roman" w:hAnsi="Times New Roman"/>
          <w:color w:val="000000"/>
          <w:sz w:val="24"/>
          <w:szCs w:val="24"/>
          <w:lang w:val="en-GB"/>
        </w:rPr>
        <w:t>right;</w:t>
      </w:r>
      <w:proofErr w:type="gramEnd"/>
    </w:p>
    <w:p w14:paraId="41CC59CD" w14:textId="77777777" w:rsidR="004E6D8A" w:rsidRPr="0029408A" w:rsidRDefault="004E6D8A" w:rsidP="004F4AF6">
      <w:pPr>
        <w:tabs>
          <w:tab w:val="left" w:pos="1134"/>
        </w:tabs>
        <w:spacing w:after="0" w:line="240" w:lineRule="auto"/>
        <w:ind w:firstLine="720"/>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2) </w:t>
      </w:r>
      <w:r w:rsidR="0001274E" w:rsidRPr="0029408A">
        <w:rPr>
          <w:rFonts w:ascii="Times New Roman" w:eastAsia="Times New Roman" w:hAnsi="Times New Roman"/>
          <w:color w:val="000000"/>
          <w:sz w:val="24"/>
          <w:szCs w:val="24"/>
          <w:lang w:val="en-GB"/>
        </w:rPr>
        <w:t>general information about beneficial owners of persons referred to in sub-</w:t>
      </w:r>
      <w:r w:rsidR="007D3105" w:rsidRPr="0029408A">
        <w:rPr>
          <w:rFonts w:ascii="Times New Roman" w:eastAsia="Times New Roman" w:hAnsi="Times New Roman"/>
          <w:color w:val="000000"/>
          <w:sz w:val="24"/>
          <w:szCs w:val="24"/>
          <w:lang w:val="en-GB"/>
        </w:rPr>
        <w:t>point</w:t>
      </w:r>
      <w:r w:rsidR="0001274E" w:rsidRPr="0029408A">
        <w:rPr>
          <w:rFonts w:ascii="Times New Roman" w:eastAsia="Times New Roman" w:hAnsi="Times New Roman"/>
          <w:color w:val="000000"/>
          <w:sz w:val="24"/>
          <w:szCs w:val="24"/>
          <w:lang w:val="en-GB"/>
        </w:rPr>
        <w:t xml:space="preserve"> 1): name, surname of the beneficial owner, country of residence.</w:t>
      </w:r>
    </w:p>
    <w:p w14:paraId="579DECA1" w14:textId="77777777" w:rsidR="004E6D8A" w:rsidRPr="0029408A" w:rsidRDefault="007E4AF0"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In case of modifications</w:t>
      </w:r>
      <w:r w:rsidR="00480243" w:rsidRPr="0029408A">
        <w:rPr>
          <w:color w:val="000000"/>
          <w:lang w:val="en-GB"/>
        </w:rPr>
        <w:t xml:space="preserve"> in the information published in Annex 7, the bank will update the information within 15 days from the date of those changes.</w:t>
      </w:r>
    </w:p>
    <w:p w14:paraId="608BD08D" w14:textId="77777777" w:rsidR="004E6D8A" w:rsidRPr="0029408A" w:rsidRDefault="007E4AF0"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 xml:space="preserve">The information provided in this chapter is published by posting on the noticeboard in the bank offices and on the bank's web pages and is updated as it is modified, but not later than 10 days from the date of modifications / additions. The information referred to in </w:t>
      </w:r>
      <w:r w:rsidR="007D3105" w:rsidRPr="0029408A">
        <w:rPr>
          <w:color w:val="000000"/>
          <w:lang w:val="en-GB"/>
        </w:rPr>
        <w:t>point</w:t>
      </w:r>
      <w:r w:rsidRPr="0029408A">
        <w:rPr>
          <w:color w:val="000000"/>
          <w:lang w:val="en-GB"/>
        </w:rPr>
        <w:t>s 39 and 44 shall be published and updated in accordance with those conditions.</w:t>
      </w:r>
      <w:r w:rsidR="004E6D8A" w:rsidRPr="0029408A">
        <w:rPr>
          <w:color w:val="000000"/>
          <w:lang w:val="en-GB"/>
        </w:rPr>
        <w:t xml:space="preserve"> </w:t>
      </w:r>
    </w:p>
    <w:p w14:paraId="6ECC98EC" w14:textId="77777777" w:rsidR="002770CE" w:rsidRPr="0029408A" w:rsidRDefault="007E4AF0" w:rsidP="00117403">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Banks shall publish the information regarding the modalities of drawing up the notifications / claims / complaints of the clients and the competent factors authorized to receive and solve them, as well as the formalities of presenting them to the bank.</w:t>
      </w:r>
    </w:p>
    <w:p w14:paraId="3A137E8F" w14:textId="77777777" w:rsidR="006673FF" w:rsidRPr="0029408A" w:rsidRDefault="006673FF" w:rsidP="00FB5F3E">
      <w:pPr>
        <w:tabs>
          <w:tab w:val="left" w:pos="1134"/>
        </w:tabs>
        <w:spacing w:after="0" w:line="240" w:lineRule="auto"/>
        <w:jc w:val="center"/>
        <w:rPr>
          <w:rFonts w:ascii="Times New Roman" w:eastAsia="Times New Roman" w:hAnsi="Times New Roman"/>
          <w:b/>
          <w:bCs/>
          <w:color w:val="000000"/>
          <w:sz w:val="24"/>
          <w:szCs w:val="24"/>
          <w:lang w:val="en-GB"/>
        </w:rPr>
      </w:pPr>
    </w:p>
    <w:p w14:paraId="18EB1249" w14:textId="77777777" w:rsidR="006E031C" w:rsidRPr="0029408A" w:rsidRDefault="006E031C" w:rsidP="006E031C">
      <w:pPr>
        <w:tabs>
          <w:tab w:val="left" w:pos="1134"/>
        </w:tabs>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Chapter VII</w:t>
      </w:r>
    </w:p>
    <w:p w14:paraId="0D29484C" w14:textId="77777777" w:rsidR="00B679D8" w:rsidRPr="0029408A" w:rsidRDefault="006E031C" w:rsidP="006E031C">
      <w:pPr>
        <w:tabs>
          <w:tab w:val="left" w:pos="1134"/>
        </w:tabs>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PUBLICATION OF INFORMATION ON THE MANAGEMENT FRAMEWORK, OWN FUNDS AND CAPITAL REQUIREMENTS, CAPITAL BUFFERS</w:t>
      </w:r>
    </w:p>
    <w:p w14:paraId="03C753EB" w14:textId="77777777" w:rsidR="002D66FA" w:rsidRPr="0029408A" w:rsidRDefault="006E031C" w:rsidP="00BA14E2">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Banks shall publish, in the form of a report, at least annually, unless otherwise provided in the Regulation, the information specified in this Chapter in the manner and under the conditions set out therein. The annual publication of the information shall take place no later than the date of publication of the financial statements.</w:t>
      </w:r>
      <w:r w:rsidR="00F77E19" w:rsidRPr="0029408A">
        <w:rPr>
          <w:color w:val="000000"/>
          <w:lang w:val="en-GB"/>
        </w:rPr>
        <w:t xml:space="preserve"> </w:t>
      </w:r>
    </w:p>
    <w:p w14:paraId="10EB1CB7" w14:textId="77777777" w:rsidR="00951C1C" w:rsidRPr="0029408A" w:rsidRDefault="006E031C" w:rsidP="00BA14E2">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The Bank, in particular the Bank, which is an O-SII company of the Republic of Moldova, shall assess the need to publish certain or all of the information provided for in this Chapter more than once a year, unless the Regulation provides otherwise, taking into account the size and complexity of the activities carried out by the bank, as well as other relevant characteristics of the activities carried out. In that assessment, special attention will be paid to a potential need for more frequent publication of information on risk exposure and other elements prone to rapid change.</w:t>
      </w:r>
    </w:p>
    <w:p w14:paraId="26B950C1" w14:textId="77777777" w:rsidR="002D66FA" w:rsidRPr="0029408A" w:rsidRDefault="002C1480" w:rsidP="00BA14E2">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 xml:space="preserve">Banks shall publish on their website, keep in the bank office and make available to the public, at its request, the report referred to in </w:t>
      </w:r>
      <w:r w:rsidR="007D3105" w:rsidRPr="0029408A">
        <w:rPr>
          <w:color w:val="000000"/>
          <w:lang w:val="en-GB"/>
        </w:rPr>
        <w:t>point</w:t>
      </w:r>
      <w:r w:rsidRPr="0029408A">
        <w:rPr>
          <w:color w:val="000000"/>
          <w:lang w:val="en-GB"/>
        </w:rPr>
        <w:t xml:space="preserve"> 47 for the period of the last three years.</w:t>
      </w:r>
    </w:p>
    <w:p w14:paraId="2E5BBF66" w14:textId="77777777" w:rsidR="00804872" w:rsidRPr="0029408A" w:rsidRDefault="00BB64FB" w:rsidP="00BA14E2">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 xml:space="preserve">The Bank, which in the report referred to in </w:t>
      </w:r>
      <w:r w:rsidR="007D3105" w:rsidRPr="0029408A">
        <w:rPr>
          <w:color w:val="000000"/>
          <w:lang w:val="en-GB"/>
        </w:rPr>
        <w:t>point</w:t>
      </w:r>
      <w:r w:rsidRPr="0029408A">
        <w:rPr>
          <w:color w:val="000000"/>
          <w:lang w:val="en-GB"/>
        </w:rPr>
        <w:t xml:space="preserve"> 47 does not publish certain information in accordance with its provisions due to the lack of activities in that regard, mentions in that report that it did not publish certain information and the reasons for non-publication and provide general information on the subject matter of the publication requirement, unless such information is considered proprietary or confidential.</w:t>
      </w:r>
    </w:p>
    <w:p w14:paraId="10CA8A3E" w14:textId="77777777" w:rsidR="006D2250" w:rsidRPr="0029408A" w:rsidRDefault="00A21DB4" w:rsidP="00BA14E2">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At least one member of the bank's Board and one member of the bank's Executive Body must certify, by a statement at the end of the report, that the publications provided under this Chapter have been prepared in accordance with the Bank's internal control processes and the requirements of this Chapter.</w:t>
      </w:r>
    </w:p>
    <w:p w14:paraId="45262C5D" w14:textId="77777777" w:rsidR="00B679D8" w:rsidRPr="0029408A" w:rsidRDefault="002E1F61" w:rsidP="00BA14E2">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lastRenderedPageBreak/>
        <w:t xml:space="preserve">Banks shall publish their </w:t>
      </w:r>
      <w:r w:rsidRPr="0029408A">
        <w:rPr>
          <w:b/>
          <w:color w:val="000000"/>
          <w:lang w:val="en-GB"/>
        </w:rPr>
        <w:t>risk management objectives and policies separately for each distinct category of risk</w:t>
      </w:r>
      <w:r w:rsidRPr="0029408A">
        <w:rPr>
          <w:color w:val="000000"/>
          <w:lang w:val="en-GB"/>
        </w:rPr>
        <w:t xml:space="preserve">, which arises from the bank's business </w:t>
      </w:r>
      <w:proofErr w:type="gramStart"/>
      <w:r w:rsidRPr="0029408A">
        <w:rPr>
          <w:color w:val="000000"/>
          <w:lang w:val="en-GB"/>
        </w:rPr>
        <w:t>model</w:t>
      </w:r>
      <w:proofErr w:type="gramEnd"/>
      <w:r w:rsidRPr="0029408A">
        <w:rPr>
          <w:color w:val="000000"/>
          <w:lang w:val="en-GB"/>
        </w:rPr>
        <w:t xml:space="preserve"> and which is significantly relevant to the bank, </w:t>
      </w:r>
      <w:proofErr w:type="gramStart"/>
      <w:r w:rsidRPr="0029408A">
        <w:rPr>
          <w:color w:val="000000"/>
          <w:lang w:val="en-GB"/>
        </w:rPr>
        <w:t>in particular for</w:t>
      </w:r>
      <w:proofErr w:type="gramEnd"/>
      <w:r w:rsidRPr="0029408A">
        <w:rPr>
          <w:color w:val="000000"/>
          <w:lang w:val="en-GB"/>
        </w:rPr>
        <w:t xml:space="preserve"> the risks mentioned in this chapter. The information published must include at least:</w:t>
      </w:r>
    </w:p>
    <w:p w14:paraId="6480BC55" w14:textId="77777777" w:rsidR="00B679D8" w:rsidRPr="0029408A" w:rsidRDefault="0088522F" w:rsidP="0088522F">
      <w:pPr>
        <w:pStyle w:val="ListParagraph"/>
        <w:numPr>
          <w:ilvl w:val="0"/>
          <w:numId w:val="41"/>
        </w:numPr>
        <w:tabs>
          <w:tab w:val="left" w:pos="1134"/>
        </w:tabs>
        <w:contextualSpacing w:val="0"/>
        <w:jc w:val="both"/>
        <w:rPr>
          <w:color w:val="000000"/>
        </w:rPr>
      </w:pPr>
      <w:r w:rsidRPr="0029408A">
        <w:rPr>
          <w:color w:val="000000"/>
        </w:rPr>
        <w:t xml:space="preserve">strategies and procedures for managing, hedging and mitigating these risks, crisis simulations (portfolios subject to crisis simulations, scenarios </w:t>
      </w:r>
      <w:proofErr w:type="gramStart"/>
      <w:r w:rsidRPr="0029408A">
        <w:rPr>
          <w:color w:val="000000"/>
        </w:rPr>
        <w:t>adopted</w:t>
      </w:r>
      <w:proofErr w:type="gramEnd"/>
      <w:r w:rsidRPr="0029408A">
        <w:rPr>
          <w:color w:val="000000"/>
        </w:rPr>
        <w:t xml:space="preserve"> and methodologies used, including the use of crisis simulations in risk management), as well as information on monitoring the effectiveness of hedging elements and risk </w:t>
      </w:r>
      <w:proofErr w:type="gramStart"/>
      <w:r w:rsidRPr="0029408A">
        <w:rPr>
          <w:color w:val="000000"/>
        </w:rPr>
        <w:t>reduction;</w:t>
      </w:r>
      <w:proofErr w:type="gramEnd"/>
    </w:p>
    <w:p w14:paraId="39C5ECD5" w14:textId="77777777" w:rsidR="00B679D8" w:rsidRPr="0029408A" w:rsidRDefault="0088522F" w:rsidP="0088522F">
      <w:pPr>
        <w:pStyle w:val="ListParagraph"/>
        <w:numPr>
          <w:ilvl w:val="0"/>
          <w:numId w:val="41"/>
        </w:numPr>
        <w:tabs>
          <w:tab w:val="left" w:pos="1134"/>
        </w:tabs>
        <w:contextualSpacing w:val="0"/>
        <w:jc w:val="both"/>
        <w:rPr>
          <w:color w:val="000000"/>
        </w:rPr>
      </w:pPr>
      <w:r w:rsidRPr="0029408A">
        <w:rPr>
          <w:color w:val="000000"/>
        </w:rPr>
        <w:t>the structure and organization of the risk management function (distribution of responsibilities between the management body, the lines of activity and the risk management function), including information on its competencies and status or other appropriate organizational arrangements (communication channels, culture implementation on risks within the bank (for example, codes of conduct, manuals containing limits or operational procedures to deal with breaches of risk thresholds)</w:t>
      </w:r>
      <w:proofErr w:type="gramStart"/>
      <w:r w:rsidRPr="0029408A">
        <w:rPr>
          <w:color w:val="000000"/>
        </w:rPr>
        <w:t>);</w:t>
      </w:r>
      <w:proofErr w:type="gramEnd"/>
    </w:p>
    <w:p w14:paraId="791B8D0E" w14:textId="77777777" w:rsidR="00B679D8" w:rsidRPr="0029408A" w:rsidRDefault="00AB2B47" w:rsidP="00AB2B47">
      <w:pPr>
        <w:pStyle w:val="ListParagraph"/>
        <w:numPr>
          <w:ilvl w:val="0"/>
          <w:numId w:val="41"/>
        </w:numPr>
        <w:tabs>
          <w:tab w:val="left" w:pos="1134"/>
        </w:tabs>
        <w:contextualSpacing w:val="0"/>
        <w:jc w:val="both"/>
        <w:rPr>
          <w:color w:val="000000"/>
        </w:rPr>
      </w:pPr>
      <w:r w:rsidRPr="0029408A">
        <w:rPr>
          <w:color w:val="000000"/>
        </w:rPr>
        <w:t xml:space="preserve">the scope and type of risk reporting and measurement systems, as well as the description of the flow of risk information to the management </w:t>
      </w:r>
      <w:proofErr w:type="gramStart"/>
      <w:r w:rsidRPr="0029408A">
        <w:rPr>
          <w:color w:val="000000"/>
        </w:rPr>
        <w:t>body;</w:t>
      </w:r>
      <w:proofErr w:type="gramEnd"/>
    </w:p>
    <w:p w14:paraId="30FF3E95" w14:textId="77777777" w:rsidR="00B679D8" w:rsidRPr="0029408A" w:rsidRDefault="00AB2B47" w:rsidP="00AB2B47">
      <w:pPr>
        <w:pStyle w:val="ListParagraph"/>
        <w:numPr>
          <w:ilvl w:val="0"/>
          <w:numId w:val="41"/>
        </w:numPr>
        <w:tabs>
          <w:tab w:val="left" w:pos="1134"/>
        </w:tabs>
        <w:contextualSpacing w:val="0"/>
        <w:jc w:val="both"/>
        <w:rPr>
          <w:color w:val="000000"/>
        </w:rPr>
      </w:pPr>
      <w:r w:rsidRPr="0029408A">
        <w:rPr>
          <w:color w:val="000000"/>
        </w:rPr>
        <w:t xml:space="preserve">hedging and mitigation policies, as well as strategies and processes for monitoring the continuity of the effectiveness of hedging and mitigation elements arising from the bank's business </w:t>
      </w:r>
      <w:proofErr w:type="gramStart"/>
      <w:r w:rsidRPr="0029408A">
        <w:rPr>
          <w:color w:val="000000"/>
        </w:rPr>
        <w:t>model;</w:t>
      </w:r>
      <w:proofErr w:type="gramEnd"/>
    </w:p>
    <w:p w14:paraId="4B10B491" w14:textId="77777777" w:rsidR="00B679D8" w:rsidRPr="0029408A" w:rsidRDefault="00DC4436" w:rsidP="00DC4436">
      <w:pPr>
        <w:pStyle w:val="ListParagraph"/>
        <w:numPr>
          <w:ilvl w:val="0"/>
          <w:numId w:val="41"/>
        </w:numPr>
        <w:tabs>
          <w:tab w:val="left" w:pos="1134"/>
        </w:tabs>
        <w:contextualSpacing w:val="0"/>
        <w:jc w:val="both"/>
        <w:rPr>
          <w:color w:val="000000"/>
        </w:rPr>
      </w:pPr>
      <w:r w:rsidRPr="0029408A">
        <w:rPr>
          <w:color w:val="000000"/>
        </w:rPr>
        <w:t xml:space="preserve">a statement approved by the bank's Board regarding the adequacy of the bank's risk management framework, ensuring that existing risk management systems are adequate </w:t>
      </w:r>
      <w:proofErr w:type="gramStart"/>
      <w:r w:rsidRPr="0029408A">
        <w:rPr>
          <w:color w:val="000000"/>
        </w:rPr>
        <w:t>taking into account</w:t>
      </w:r>
      <w:proofErr w:type="gramEnd"/>
      <w:r w:rsidRPr="0029408A">
        <w:rPr>
          <w:color w:val="000000"/>
        </w:rPr>
        <w:t xml:space="preserve"> the bank's profile and </w:t>
      </w:r>
      <w:proofErr w:type="gramStart"/>
      <w:r w:rsidRPr="0029408A">
        <w:rPr>
          <w:color w:val="000000"/>
        </w:rPr>
        <w:t>strategy;</w:t>
      </w:r>
      <w:proofErr w:type="gramEnd"/>
    </w:p>
    <w:p w14:paraId="5AEC01BB" w14:textId="77777777" w:rsidR="00B679D8" w:rsidRPr="0029408A" w:rsidRDefault="00AB421E" w:rsidP="00AB421E">
      <w:pPr>
        <w:pStyle w:val="ListParagraph"/>
        <w:numPr>
          <w:ilvl w:val="0"/>
          <w:numId w:val="41"/>
        </w:numPr>
        <w:tabs>
          <w:tab w:val="left" w:pos="1134"/>
        </w:tabs>
        <w:contextualSpacing w:val="0"/>
        <w:jc w:val="both"/>
        <w:rPr>
          <w:color w:val="000000"/>
        </w:rPr>
      </w:pPr>
      <w:r w:rsidRPr="0029408A">
        <w:rPr>
          <w:color w:val="000000"/>
        </w:rPr>
        <w:t>a concise risk statement, approved by the bank's Board, outlining the bank's overall risk profile associated with the business strategy and the nature, extent, purpose and economic substance of the transactions that have a material impact on the risk profile of the bank or on the distribution of risks within the group. That statement should include key indicators and data that provide external stakeholders with a comprehensive overview of how the bank manages its risks, including how the bank's risk profile interacts with the risk tolerance established by the bank's Board.</w:t>
      </w:r>
      <w:r w:rsidR="00B679D8" w:rsidRPr="0029408A">
        <w:rPr>
          <w:color w:val="000000"/>
        </w:rPr>
        <w:t xml:space="preserve"> </w:t>
      </w:r>
    </w:p>
    <w:p w14:paraId="2B0B41B8" w14:textId="77777777" w:rsidR="00B679D8" w:rsidRPr="0029408A" w:rsidRDefault="00D44093" w:rsidP="00BA14E2">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 xml:space="preserve">Banks must publish the following information, including periodic updates, at least annually, regarding the </w:t>
      </w:r>
      <w:r w:rsidRPr="0029408A">
        <w:rPr>
          <w:b/>
          <w:color w:val="000000"/>
          <w:lang w:val="en-GB"/>
        </w:rPr>
        <w:t>management framework:</w:t>
      </w:r>
    </w:p>
    <w:p w14:paraId="69E50110" w14:textId="77777777" w:rsidR="00B679D8" w:rsidRPr="0029408A" w:rsidRDefault="009743A6" w:rsidP="009743A6">
      <w:pPr>
        <w:pStyle w:val="ListParagraph"/>
        <w:numPr>
          <w:ilvl w:val="0"/>
          <w:numId w:val="42"/>
        </w:numPr>
        <w:tabs>
          <w:tab w:val="left" w:pos="1134"/>
        </w:tabs>
        <w:contextualSpacing w:val="0"/>
        <w:jc w:val="both"/>
        <w:rPr>
          <w:color w:val="000000"/>
        </w:rPr>
      </w:pPr>
      <w:r w:rsidRPr="0029408A">
        <w:rPr>
          <w:color w:val="000000"/>
        </w:rPr>
        <w:t xml:space="preserve">the number of positions, according to Art. 43 paragraphs (12), (13) and (14) of Law no. 202/2017, effectively held for each member of the management body, regardless of whether the position is held in an entity that pursues or not a business </w:t>
      </w:r>
      <w:proofErr w:type="gramStart"/>
      <w:r w:rsidRPr="0029408A">
        <w:rPr>
          <w:color w:val="000000"/>
        </w:rPr>
        <w:t>objective;</w:t>
      </w:r>
      <w:proofErr w:type="gramEnd"/>
    </w:p>
    <w:p w14:paraId="1166BF1F" w14:textId="77777777" w:rsidR="00B679D8" w:rsidRPr="0029408A" w:rsidRDefault="009743A6" w:rsidP="009743A6">
      <w:pPr>
        <w:pStyle w:val="ListParagraph"/>
        <w:numPr>
          <w:ilvl w:val="0"/>
          <w:numId w:val="42"/>
        </w:numPr>
        <w:tabs>
          <w:tab w:val="left" w:pos="1134"/>
        </w:tabs>
        <w:contextualSpacing w:val="0"/>
        <w:jc w:val="both"/>
        <w:rPr>
          <w:color w:val="000000"/>
        </w:rPr>
      </w:pPr>
      <w:r w:rsidRPr="0029408A">
        <w:rPr>
          <w:color w:val="000000"/>
        </w:rPr>
        <w:t xml:space="preserve">the selection policy of the members of the management body, their knowledge, qualifications and actual </w:t>
      </w:r>
      <w:proofErr w:type="gramStart"/>
      <w:r w:rsidRPr="0029408A">
        <w:rPr>
          <w:color w:val="000000"/>
        </w:rPr>
        <w:t>experience;</w:t>
      </w:r>
      <w:proofErr w:type="gramEnd"/>
    </w:p>
    <w:p w14:paraId="2DBEC8DA" w14:textId="77777777" w:rsidR="00B679D8" w:rsidRPr="0029408A" w:rsidRDefault="009743A6" w:rsidP="009743A6">
      <w:pPr>
        <w:pStyle w:val="ListParagraph"/>
        <w:numPr>
          <w:ilvl w:val="0"/>
          <w:numId w:val="42"/>
        </w:numPr>
        <w:tabs>
          <w:tab w:val="left" w:pos="1134"/>
        </w:tabs>
        <w:contextualSpacing w:val="0"/>
        <w:jc w:val="both"/>
        <w:rPr>
          <w:color w:val="000000"/>
        </w:rPr>
      </w:pPr>
      <w:bookmarkStart w:id="3" w:name="_Ref8741696"/>
      <w:r w:rsidRPr="0029408A">
        <w:rPr>
          <w:color w:val="000000"/>
        </w:rPr>
        <w:t xml:space="preserve">the policy on diversity in the selection of members of the management body, objectives and any relevant targets set out in that policy, as well as the extent to which those objectives and targets have been </w:t>
      </w:r>
      <w:proofErr w:type="gramStart"/>
      <w:r w:rsidRPr="0029408A">
        <w:rPr>
          <w:color w:val="000000"/>
        </w:rPr>
        <w:t>achieved;</w:t>
      </w:r>
      <w:proofErr w:type="gramEnd"/>
      <w:r w:rsidR="00B679D8" w:rsidRPr="0029408A">
        <w:rPr>
          <w:color w:val="000000"/>
        </w:rPr>
        <w:t xml:space="preserve"> </w:t>
      </w:r>
      <w:bookmarkEnd w:id="3"/>
    </w:p>
    <w:p w14:paraId="0B2C1CB4" w14:textId="77777777" w:rsidR="00B679D8" w:rsidRPr="0029408A" w:rsidRDefault="00393919" w:rsidP="00393919">
      <w:pPr>
        <w:pStyle w:val="ListParagraph"/>
        <w:numPr>
          <w:ilvl w:val="0"/>
          <w:numId w:val="42"/>
        </w:numPr>
        <w:tabs>
          <w:tab w:val="left" w:pos="1134"/>
        </w:tabs>
        <w:contextualSpacing w:val="0"/>
        <w:jc w:val="both"/>
        <w:rPr>
          <w:color w:val="000000"/>
        </w:rPr>
      </w:pPr>
      <w:r w:rsidRPr="0029408A">
        <w:rPr>
          <w:color w:val="000000"/>
        </w:rPr>
        <w:t xml:space="preserve">the number of meetings of the risk </w:t>
      </w:r>
      <w:proofErr w:type="gramStart"/>
      <w:r w:rsidRPr="0029408A">
        <w:rPr>
          <w:color w:val="000000"/>
        </w:rPr>
        <w:t>committee;</w:t>
      </w:r>
      <w:proofErr w:type="gramEnd"/>
    </w:p>
    <w:p w14:paraId="3655E023" w14:textId="77777777" w:rsidR="00B679D8" w:rsidRPr="0029408A" w:rsidRDefault="00393919" w:rsidP="00393919">
      <w:pPr>
        <w:pStyle w:val="ListParagraph"/>
        <w:numPr>
          <w:ilvl w:val="0"/>
          <w:numId w:val="42"/>
        </w:numPr>
        <w:tabs>
          <w:tab w:val="left" w:pos="1134"/>
        </w:tabs>
        <w:autoSpaceDE w:val="0"/>
        <w:autoSpaceDN w:val="0"/>
        <w:adjustRightInd w:val="0"/>
        <w:contextualSpacing w:val="0"/>
        <w:jc w:val="both"/>
        <w:rPr>
          <w:color w:val="000000"/>
        </w:rPr>
      </w:pPr>
      <w:r w:rsidRPr="0029408A">
        <w:rPr>
          <w:color w:val="000000"/>
        </w:rPr>
        <w:t>description of the flow of risk information to the management body, in particular the frequency, scope and main content of the risk exposure.</w:t>
      </w:r>
    </w:p>
    <w:p w14:paraId="178461C7" w14:textId="77777777" w:rsidR="00DA4FF1" w:rsidRPr="0029408A" w:rsidRDefault="00A81BD7" w:rsidP="00BA14E2">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 xml:space="preserve">Banks shall publish at least the following </w:t>
      </w:r>
      <w:r w:rsidRPr="0029408A">
        <w:rPr>
          <w:b/>
          <w:color w:val="000000"/>
          <w:lang w:val="en-GB"/>
        </w:rPr>
        <w:t xml:space="preserve">information regarding the bank's remuneration policy and practices for the bank's staff, mentioned in </w:t>
      </w:r>
      <w:r w:rsidR="007D35B5" w:rsidRPr="0029408A">
        <w:rPr>
          <w:b/>
          <w:color w:val="000000"/>
          <w:lang w:val="en-GB"/>
        </w:rPr>
        <w:t>A</w:t>
      </w:r>
      <w:r w:rsidRPr="0029408A">
        <w:rPr>
          <w:b/>
          <w:color w:val="000000"/>
          <w:lang w:val="en-GB"/>
        </w:rPr>
        <w:t>rt. 39 paragraph (1) of Law no. 202/2017:</w:t>
      </w:r>
    </w:p>
    <w:p w14:paraId="4CA7D893" w14:textId="77777777" w:rsidR="00DA4FF1" w:rsidRPr="0029408A" w:rsidRDefault="004F44F5" w:rsidP="004F44F5">
      <w:pPr>
        <w:pStyle w:val="ListParagraph"/>
        <w:numPr>
          <w:ilvl w:val="0"/>
          <w:numId w:val="38"/>
        </w:numPr>
        <w:tabs>
          <w:tab w:val="left" w:pos="1134"/>
        </w:tabs>
        <w:contextualSpacing w:val="0"/>
        <w:jc w:val="both"/>
        <w:rPr>
          <w:color w:val="000000"/>
        </w:rPr>
      </w:pPr>
      <w:r w:rsidRPr="0029408A">
        <w:rPr>
          <w:color w:val="000000"/>
        </w:rPr>
        <w:t xml:space="preserve">information on the decision-making process used to determine the remuneration policy, as well as the number of meetings organized by the bank's Board and, where applicable, by the remuneration committee during the financial year, including, where appropriate, information </w:t>
      </w:r>
      <w:r w:rsidRPr="0029408A">
        <w:rPr>
          <w:color w:val="000000"/>
        </w:rPr>
        <w:lastRenderedPageBreak/>
        <w:t>on the composition and the terms of reference of the remuneration committee and / or the external consultant whose services have been used to determine the remuneration policy and the role of the relevant stakeholders;</w:t>
      </w:r>
    </w:p>
    <w:p w14:paraId="5E2C4B9A" w14:textId="77777777" w:rsidR="00DA4FF1" w:rsidRPr="0029408A" w:rsidRDefault="00874EB2" w:rsidP="00874EB2">
      <w:pPr>
        <w:pStyle w:val="ListParagraph"/>
        <w:numPr>
          <w:ilvl w:val="0"/>
          <w:numId w:val="38"/>
        </w:numPr>
        <w:tabs>
          <w:tab w:val="left" w:pos="1134"/>
        </w:tabs>
        <w:contextualSpacing w:val="0"/>
        <w:jc w:val="both"/>
        <w:rPr>
          <w:color w:val="000000"/>
        </w:rPr>
      </w:pPr>
      <w:r w:rsidRPr="0029408A">
        <w:rPr>
          <w:color w:val="000000"/>
        </w:rPr>
        <w:t xml:space="preserve">information on the correlation between total remuneration and </w:t>
      </w:r>
      <w:proofErr w:type="gramStart"/>
      <w:r w:rsidRPr="0029408A">
        <w:rPr>
          <w:color w:val="000000"/>
        </w:rPr>
        <w:t>performance;</w:t>
      </w:r>
      <w:proofErr w:type="gramEnd"/>
    </w:p>
    <w:p w14:paraId="645D48BB" w14:textId="77777777" w:rsidR="00DA4FF1" w:rsidRPr="0029408A" w:rsidRDefault="008F5199" w:rsidP="008F5199">
      <w:pPr>
        <w:pStyle w:val="ListParagraph"/>
        <w:numPr>
          <w:ilvl w:val="0"/>
          <w:numId w:val="38"/>
        </w:numPr>
        <w:tabs>
          <w:tab w:val="left" w:pos="1134"/>
        </w:tabs>
        <w:contextualSpacing w:val="0"/>
        <w:jc w:val="both"/>
        <w:rPr>
          <w:color w:val="000000"/>
        </w:rPr>
      </w:pPr>
      <w:r w:rsidRPr="0029408A">
        <w:rPr>
          <w:color w:val="000000"/>
        </w:rPr>
        <w:t xml:space="preserve">the most important design features of the remuneration system, including information on the criteria used to measure performance and risk adjustment, the concept of reduction or non-granting (deferral) of variable remuneration and the criteria for </w:t>
      </w:r>
      <w:proofErr w:type="gramStart"/>
      <w:r w:rsidRPr="0029408A">
        <w:rPr>
          <w:color w:val="000000"/>
        </w:rPr>
        <w:t>entitlement;</w:t>
      </w:r>
      <w:proofErr w:type="gramEnd"/>
    </w:p>
    <w:p w14:paraId="69BC1C73" w14:textId="77777777" w:rsidR="00DA4FF1" w:rsidRPr="0029408A" w:rsidRDefault="00381936" w:rsidP="00381936">
      <w:pPr>
        <w:pStyle w:val="ListParagraph"/>
        <w:numPr>
          <w:ilvl w:val="0"/>
          <w:numId w:val="38"/>
        </w:numPr>
        <w:tabs>
          <w:tab w:val="left" w:pos="1134"/>
        </w:tabs>
        <w:contextualSpacing w:val="0"/>
        <w:jc w:val="both"/>
        <w:rPr>
          <w:color w:val="000000"/>
        </w:rPr>
      </w:pPr>
      <w:r w:rsidRPr="0029408A">
        <w:rPr>
          <w:color w:val="000000"/>
        </w:rPr>
        <w:t xml:space="preserve">the ratios between the fixed and the variable components of the total remuneration, established by the bank in accordance with Art. 39, para. (1) letter h) of Law no. </w:t>
      </w:r>
      <w:proofErr w:type="gramStart"/>
      <w:r w:rsidRPr="0029408A">
        <w:rPr>
          <w:color w:val="000000"/>
        </w:rPr>
        <w:t>202/2017;</w:t>
      </w:r>
      <w:proofErr w:type="gramEnd"/>
    </w:p>
    <w:p w14:paraId="709C64E8" w14:textId="77777777" w:rsidR="00DA4FF1" w:rsidRPr="0029408A" w:rsidRDefault="001F64F5" w:rsidP="001F64F5">
      <w:pPr>
        <w:pStyle w:val="ListParagraph"/>
        <w:numPr>
          <w:ilvl w:val="0"/>
          <w:numId w:val="38"/>
        </w:numPr>
        <w:tabs>
          <w:tab w:val="left" w:pos="1134"/>
        </w:tabs>
        <w:contextualSpacing w:val="0"/>
        <w:jc w:val="both"/>
        <w:rPr>
          <w:color w:val="000000"/>
        </w:rPr>
      </w:pPr>
      <w:r w:rsidRPr="0029408A">
        <w:rPr>
          <w:color w:val="000000"/>
        </w:rPr>
        <w:t xml:space="preserve">information on the performance criteria on which the right to shares, options or other variable components of remuneration is </w:t>
      </w:r>
      <w:proofErr w:type="gramStart"/>
      <w:r w:rsidRPr="0029408A">
        <w:rPr>
          <w:color w:val="000000"/>
        </w:rPr>
        <w:t>based;</w:t>
      </w:r>
      <w:proofErr w:type="gramEnd"/>
    </w:p>
    <w:p w14:paraId="3AD7FF29" w14:textId="77777777" w:rsidR="00DA4FF1" w:rsidRPr="0029408A" w:rsidRDefault="001C5150" w:rsidP="001C5150">
      <w:pPr>
        <w:pStyle w:val="ListParagraph"/>
        <w:numPr>
          <w:ilvl w:val="0"/>
          <w:numId w:val="38"/>
        </w:numPr>
        <w:tabs>
          <w:tab w:val="left" w:pos="1134"/>
        </w:tabs>
        <w:contextualSpacing w:val="0"/>
        <w:jc w:val="both"/>
        <w:rPr>
          <w:color w:val="000000"/>
        </w:rPr>
      </w:pPr>
      <w:r w:rsidRPr="0029408A">
        <w:rPr>
          <w:color w:val="000000"/>
        </w:rPr>
        <w:t xml:space="preserve">the main parameters and the substantiation of the composition of any scheme of the variable component and of the granting of other non-monetary </w:t>
      </w:r>
      <w:proofErr w:type="gramStart"/>
      <w:r w:rsidRPr="0029408A">
        <w:rPr>
          <w:color w:val="000000"/>
        </w:rPr>
        <w:t>benefits;</w:t>
      </w:r>
      <w:proofErr w:type="gramEnd"/>
    </w:p>
    <w:p w14:paraId="0B648A82" w14:textId="77777777" w:rsidR="00DA4FF1" w:rsidRPr="0029408A" w:rsidRDefault="001C0E1D" w:rsidP="001C0E1D">
      <w:pPr>
        <w:pStyle w:val="ListParagraph"/>
        <w:numPr>
          <w:ilvl w:val="0"/>
          <w:numId w:val="38"/>
        </w:numPr>
        <w:tabs>
          <w:tab w:val="left" w:pos="1134"/>
        </w:tabs>
        <w:contextualSpacing w:val="0"/>
        <w:jc w:val="both"/>
        <w:rPr>
          <w:color w:val="000000"/>
        </w:rPr>
      </w:pPr>
      <w:r w:rsidRPr="0029408A">
        <w:rPr>
          <w:color w:val="000000"/>
        </w:rPr>
        <w:t xml:space="preserve">aggregate quantitative information on remuneration, broken down by areas of </w:t>
      </w:r>
      <w:proofErr w:type="gramStart"/>
      <w:r w:rsidRPr="0029408A">
        <w:rPr>
          <w:color w:val="000000"/>
        </w:rPr>
        <w:t>activity;</w:t>
      </w:r>
      <w:proofErr w:type="gramEnd"/>
    </w:p>
    <w:p w14:paraId="2B226310" w14:textId="77777777" w:rsidR="00DA4FF1" w:rsidRPr="0029408A" w:rsidRDefault="001C0E1D" w:rsidP="001C0E1D">
      <w:pPr>
        <w:pStyle w:val="ListParagraph"/>
        <w:numPr>
          <w:ilvl w:val="0"/>
          <w:numId w:val="38"/>
        </w:numPr>
        <w:tabs>
          <w:tab w:val="left" w:pos="1134"/>
        </w:tabs>
        <w:contextualSpacing w:val="0"/>
        <w:jc w:val="both"/>
        <w:rPr>
          <w:color w:val="000000"/>
        </w:rPr>
      </w:pPr>
      <w:r w:rsidRPr="0029408A">
        <w:rPr>
          <w:color w:val="000000"/>
        </w:rPr>
        <w:t>aggregate quantitative information regarding the remuneration of the bank's staff, mentioned in Art. 39 para. (1) of Law no. 202/2017 with the indication of the following elements:</w:t>
      </w:r>
    </w:p>
    <w:p w14:paraId="613F1B60" w14:textId="77777777" w:rsidR="00DA4FF1" w:rsidRPr="0029408A" w:rsidRDefault="001C0E1D" w:rsidP="001C0E1D">
      <w:pPr>
        <w:pStyle w:val="ListParagraph"/>
        <w:numPr>
          <w:ilvl w:val="0"/>
          <w:numId w:val="39"/>
        </w:numPr>
        <w:tabs>
          <w:tab w:val="left" w:pos="1134"/>
        </w:tabs>
        <w:contextualSpacing w:val="0"/>
        <w:jc w:val="both"/>
        <w:rPr>
          <w:color w:val="000000"/>
        </w:rPr>
      </w:pPr>
      <w:r w:rsidRPr="0029408A">
        <w:rPr>
          <w:color w:val="000000"/>
        </w:rPr>
        <w:t xml:space="preserve">the amounts related to the remuneration for the financial year, broken down by fixed and variable remuneration and the number of </w:t>
      </w:r>
      <w:proofErr w:type="gramStart"/>
      <w:r w:rsidRPr="0029408A">
        <w:rPr>
          <w:color w:val="000000"/>
        </w:rPr>
        <w:t>beneficiaries;</w:t>
      </w:r>
      <w:proofErr w:type="gramEnd"/>
    </w:p>
    <w:p w14:paraId="4D0A256A" w14:textId="77777777" w:rsidR="00DA4FF1" w:rsidRPr="0029408A" w:rsidRDefault="001C0E1D" w:rsidP="001C0E1D">
      <w:pPr>
        <w:pStyle w:val="ListParagraph"/>
        <w:numPr>
          <w:ilvl w:val="0"/>
          <w:numId w:val="39"/>
        </w:numPr>
        <w:tabs>
          <w:tab w:val="left" w:pos="1134"/>
        </w:tabs>
        <w:contextualSpacing w:val="0"/>
        <w:jc w:val="both"/>
        <w:rPr>
          <w:color w:val="000000"/>
        </w:rPr>
      </w:pPr>
      <w:r w:rsidRPr="0029408A">
        <w:rPr>
          <w:color w:val="000000"/>
        </w:rPr>
        <w:t xml:space="preserve">the amounts and forms of variable remuneration, broken down by cash, shares, share-linked instruments and other types of </w:t>
      </w:r>
      <w:proofErr w:type="gramStart"/>
      <w:r w:rsidRPr="0029408A">
        <w:rPr>
          <w:color w:val="000000"/>
        </w:rPr>
        <w:t>instruments;</w:t>
      </w:r>
      <w:proofErr w:type="gramEnd"/>
    </w:p>
    <w:p w14:paraId="194A30CC" w14:textId="77777777" w:rsidR="00DA4FF1" w:rsidRPr="0029408A" w:rsidRDefault="001C0E1D" w:rsidP="001C0E1D">
      <w:pPr>
        <w:pStyle w:val="ListParagraph"/>
        <w:numPr>
          <w:ilvl w:val="0"/>
          <w:numId w:val="39"/>
        </w:numPr>
        <w:tabs>
          <w:tab w:val="left" w:pos="1134"/>
        </w:tabs>
        <w:contextualSpacing w:val="0"/>
        <w:jc w:val="both"/>
        <w:rPr>
          <w:color w:val="000000"/>
        </w:rPr>
      </w:pPr>
      <w:r w:rsidRPr="0029408A">
        <w:rPr>
          <w:color w:val="000000"/>
        </w:rPr>
        <w:t xml:space="preserve">the amounts of deferred remuneration due and unpaid, broken down into parts for which the entry criteria have been met and parts for which the entry criteria have not been </w:t>
      </w:r>
      <w:proofErr w:type="gramStart"/>
      <w:r w:rsidRPr="0029408A">
        <w:rPr>
          <w:color w:val="000000"/>
        </w:rPr>
        <w:t>met;</w:t>
      </w:r>
      <w:proofErr w:type="gramEnd"/>
    </w:p>
    <w:p w14:paraId="4E3EBB0E" w14:textId="77777777" w:rsidR="00DA4FF1" w:rsidRPr="0029408A" w:rsidRDefault="001C0E1D" w:rsidP="001C0E1D">
      <w:pPr>
        <w:pStyle w:val="ListParagraph"/>
        <w:numPr>
          <w:ilvl w:val="0"/>
          <w:numId w:val="39"/>
        </w:numPr>
        <w:tabs>
          <w:tab w:val="left" w:pos="1134"/>
        </w:tabs>
        <w:contextualSpacing w:val="0"/>
        <w:jc w:val="both"/>
        <w:rPr>
          <w:color w:val="000000"/>
        </w:rPr>
      </w:pPr>
      <w:r w:rsidRPr="0029408A">
        <w:rPr>
          <w:color w:val="000000"/>
        </w:rPr>
        <w:t xml:space="preserve">the amounts of deferred remuneration granted during the financial year, paid and reduced through performance </w:t>
      </w:r>
      <w:proofErr w:type="gramStart"/>
      <w:r w:rsidRPr="0029408A">
        <w:rPr>
          <w:color w:val="000000"/>
        </w:rPr>
        <w:t>adjustments;</w:t>
      </w:r>
      <w:proofErr w:type="gramEnd"/>
    </w:p>
    <w:p w14:paraId="579AE3B9" w14:textId="77777777" w:rsidR="00DA4FF1" w:rsidRPr="0029408A" w:rsidRDefault="001C0E1D" w:rsidP="001C0E1D">
      <w:pPr>
        <w:pStyle w:val="ListParagraph"/>
        <w:numPr>
          <w:ilvl w:val="0"/>
          <w:numId w:val="39"/>
        </w:numPr>
        <w:tabs>
          <w:tab w:val="left" w:pos="1134"/>
        </w:tabs>
        <w:contextualSpacing w:val="0"/>
        <w:jc w:val="both"/>
        <w:rPr>
          <w:color w:val="000000"/>
        </w:rPr>
      </w:pPr>
      <w:r w:rsidRPr="0029408A">
        <w:rPr>
          <w:color w:val="000000"/>
        </w:rPr>
        <w:t xml:space="preserve">welcome payments, initial payments for newly hired staff, granted according to Art. 39 par. (2) of Law 202/2017, and the compensatory payments for early termination of employment, made during the financial year and the number of beneficiaries of such </w:t>
      </w:r>
      <w:proofErr w:type="gramStart"/>
      <w:r w:rsidRPr="0029408A">
        <w:rPr>
          <w:color w:val="000000"/>
        </w:rPr>
        <w:t>payments;</w:t>
      </w:r>
      <w:proofErr w:type="gramEnd"/>
    </w:p>
    <w:p w14:paraId="6C1F0FAA" w14:textId="77777777" w:rsidR="00DA4FF1" w:rsidRPr="0029408A" w:rsidRDefault="0020539E" w:rsidP="0020539E">
      <w:pPr>
        <w:pStyle w:val="ListParagraph"/>
        <w:numPr>
          <w:ilvl w:val="0"/>
          <w:numId w:val="39"/>
        </w:numPr>
        <w:tabs>
          <w:tab w:val="left" w:pos="1134"/>
        </w:tabs>
        <w:contextualSpacing w:val="0"/>
        <w:jc w:val="both"/>
        <w:rPr>
          <w:color w:val="000000"/>
        </w:rPr>
      </w:pPr>
      <w:r w:rsidRPr="0029408A">
        <w:rPr>
          <w:color w:val="000000"/>
        </w:rPr>
        <w:t xml:space="preserve">the amounts of compensatory payments related to the early termination of employment, granted during the financial year, the number of beneficiaries and the highest payment of this type granted to a single </w:t>
      </w:r>
      <w:proofErr w:type="gramStart"/>
      <w:r w:rsidRPr="0029408A">
        <w:rPr>
          <w:color w:val="000000"/>
        </w:rPr>
        <w:t>person;</w:t>
      </w:r>
      <w:proofErr w:type="gramEnd"/>
    </w:p>
    <w:p w14:paraId="7EA8D654" w14:textId="77777777" w:rsidR="00DA4FF1" w:rsidRPr="0029408A" w:rsidRDefault="0026714A" w:rsidP="0026714A">
      <w:pPr>
        <w:pStyle w:val="ListParagraph"/>
        <w:numPr>
          <w:ilvl w:val="0"/>
          <w:numId w:val="38"/>
        </w:numPr>
        <w:tabs>
          <w:tab w:val="left" w:pos="1134"/>
        </w:tabs>
        <w:contextualSpacing w:val="0"/>
        <w:jc w:val="both"/>
        <w:rPr>
          <w:color w:val="000000"/>
        </w:rPr>
      </w:pPr>
      <w:r w:rsidRPr="0029408A">
        <w:rPr>
          <w:color w:val="000000"/>
        </w:rPr>
        <w:t xml:space="preserve">the number of persons who benefited from a remuneration that constitutes the equivalent of the amount of MDL 1 million or more per financial year, broken down into salary intervals of MDL 500,000 for the remunerations between the equivalent of MDL 1 million and the equivalent of MDL 5 million on salary intervals of MDL 1 million for remunerations greater than or equal to MDL 5 </w:t>
      </w:r>
      <w:proofErr w:type="gramStart"/>
      <w:r w:rsidRPr="0029408A">
        <w:rPr>
          <w:color w:val="000000"/>
        </w:rPr>
        <w:t>million;</w:t>
      </w:r>
      <w:proofErr w:type="gramEnd"/>
      <w:r w:rsidR="00DA4FF1" w:rsidRPr="0029408A">
        <w:rPr>
          <w:color w:val="000000"/>
        </w:rPr>
        <w:t xml:space="preserve"> </w:t>
      </w:r>
    </w:p>
    <w:p w14:paraId="2E33522C" w14:textId="77777777" w:rsidR="00DA4FF1" w:rsidRPr="0029408A" w:rsidRDefault="00911672" w:rsidP="00911672">
      <w:pPr>
        <w:pStyle w:val="ListParagraph"/>
        <w:numPr>
          <w:ilvl w:val="0"/>
          <w:numId w:val="38"/>
        </w:numPr>
        <w:tabs>
          <w:tab w:val="left" w:pos="1134"/>
        </w:tabs>
        <w:contextualSpacing w:val="0"/>
        <w:jc w:val="both"/>
        <w:rPr>
          <w:color w:val="000000"/>
        </w:rPr>
      </w:pPr>
      <w:r w:rsidRPr="0029408A">
        <w:rPr>
          <w:color w:val="000000"/>
        </w:rPr>
        <w:t>the aggregate remuneration for the members of the Board, as well as for the members of the Executive Body of the bank.</w:t>
      </w:r>
      <w:r w:rsidR="00DA4FF1" w:rsidRPr="0029408A">
        <w:rPr>
          <w:color w:val="000000"/>
        </w:rPr>
        <w:t xml:space="preserve"> </w:t>
      </w:r>
    </w:p>
    <w:p w14:paraId="01E42CFE" w14:textId="77777777" w:rsidR="00B679D8" w:rsidRPr="0029408A" w:rsidRDefault="00910534" w:rsidP="00BA14E2">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 xml:space="preserve">Banks shall publish at least the following information on the scope of the requirements in the </w:t>
      </w:r>
      <w:r w:rsidRPr="0029408A">
        <w:rPr>
          <w:b/>
          <w:color w:val="000000"/>
          <w:lang w:val="en-GB"/>
        </w:rPr>
        <w:t>context of prudential consolidation</w:t>
      </w:r>
      <w:r w:rsidRPr="0029408A">
        <w:rPr>
          <w:color w:val="000000"/>
          <w:lang w:val="en-GB"/>
        </w:rPr>
        <w:t xml:space="preserve"> provided for in the Regulation on the supervision of consolidated banks, approved by Decision of the Executive Board of the National Bank of Moldova No. 101 of 16 April 2020 (hereinafter - Regulation No 101/2020):</w:t>
      </w:r>
    </w:p>
    <w:p w14:paraId="299EB8EF" w14:textId="77777777" w:rsidR="00B679D8" w:rsidRPr="0029408A" w:rsidRDefault="009D5201" w:rsidP="009D5201">
      <w:pPr>
        <w:pStyle w:val="ListParagraph"/>
        <w:numPr>
          <w:ilvl w:val="0"/>
          <w:numId w:val="26"/>
        </w:numPr>
        <w:tabs>
          <w:tab w:val="left" w:pos="1134"/>
        </w:tabs>
        <w:contextualSpacing w:val="0"/>
        <w:jc w:val="both"/>
        <w:rPr>
          <w:color w:val="000000"/>
        </w:rPr>
      </w:pPr>
      <w:r w:rsidRPr="0029408A">
        <w:rPr>
          <w:color w:val="000000"/>
        </w:rPr>
        <w:t xml:space="preserve">the name of the </w:t>
      </w:r>
      <w:proofErr w:type="gramStart"/>
      <w:r w:rsidRPr="0029408A">
        <w:rPr>
          <w:color w:val="000000"/>
        </w:rPr>
        <w:t>bank;</w:t>
      </w:r>
      <w:proofErr w:type="gramEnd"/>
    </w:p>
    <w:p w14:paraId="49296631" w14:textId="77777777" w:rsidR="00B679D8" w:rsidRPr="0029408A" w:rsidRDefault="009D5201" w:rsidP="009D5201">
      <w:pPr>
        <w:pStyle w:val="ListParagraph"/>
        <w:numPr>
          <w:ilvl w:val="0"/>
          <w:numId w:val="26"/>
        </w:numPr>
        <w:tabs>
          <w:tab w:val="left" w:pos="1134"/>
        </w:tabs>
        <w:contextualSpacing w:val="0"/>
        <w:jc w:val="both"/>
        <w:rPr>
          <w:color w:val="000000"/>
        </w:rPr>
      </w:pPr>
      <w:r w:rsidRPr="0029408A">
        <w:rPr>
          <w:color w:val="000000"/>
        </w:rPr>
        <w:t>a presentation of the differences between the scope of consolidation for accounting and prudential purposes, with a brief description of the entities included for each entity (indicating at least the trade name of the entity and the sector of activity), explaining whether they are:</w:t>
      </w:r>
    </w:p>
    <w:p w14:paraId="54424D93" w14:textId="77777777" w:rsidR="00B679D8" w:rsidRPr="0029408A" w:rsidRDefault="009D5201" w:rsidP="009D5201">
      <w:pPr>
        <w:pStyle w:val="ListParagraph"/>
        <w:numPr>
          <w:ilvl w:val="0"/>
          <w:numId w:val="27"/>
        </w:numPr>
        <w:tabs>
          <w:tab w:val="left" w:pos="1134"/>
        </w:tabs>
        <w:contextualSpacing w:val="0"/>
        <w:jc w:val="both"/>
        <w:rPr>
          <w:color w:val="000000"/>
        </w:rPr>
      </w:pPr>
      <w:r w:rsidRPr="0029408A">
        <w:rPr>
          <w:color w:val="000000"/>
        </w:rPr>
        <w:t xml:space="preserve">fully </w:t>
      </w:r>
      <w:proofErr w:type="gramStart"/>
      <w:r w:rsidRPr="0029408A">
        <w:rPr>
          <w:color w:val="000000"/>
        </w:rPr>
        <w:t>consolidated;</w:t>
      </w:r>
      <w:proofErr w:type="gramEnd"/>
    </w:p>
    <w:p w14:paraId="0EA6F033" w14:textId="77777777" w:rsidR="00B679D8" w:rsidRPr="0029408A" w:rsidRDefault="009D5201" w:rsidP="009D5201">
      <w:pPr>
        <w:pStyle w:val="ListParagraph"/>
        <w:numPr>
          <w:ilvl w:val="0"/>
          <w:numId w:val="27"/>
        </w:numPr>
        <w:tabs>
          <w:tab w:val="left" w:pos="1134"/>
        </w:tabs>
        <w:contextualSpacing w:val="0"/>
        <w:jc w:val="both"/>
        <w:rPr>
          <w:color w:val="000000"/>
        </w:rPr>
      </w:pPr>
      <w:r w:rsidRPr="0029408A">
        <w:rPr>
          <w:color w:val="000000"/>
        </w:rPr>
        <w:t xml:space="preserve">proportionally </w:t>
      </w:r>
      <w:proofErr w:type="gramStart"/>
      <w:r w:rsidRPr="0029408A">
        <w:rPr>
          <w:color w:val="000000"/>
        </w:rPr>
        <w:t>consolidated;</w:t>
      </w:r>
      <w:proofErr w:type="gramEnd"/>
    </w:p>
    <w:p w14:paraId="3559884E" w14:textId="77777777" w:rsidR="00B679D8" w:rsidRPr="0029408A" w:rsidRDefault="009D5201" w:rsidP="009D5201">
      <w:pPr>
        <w:pStyle w:val="ListParagraph"/>
        <w:numPr>
          <w:ilvl w:val="0"/>
          <w:numId w:val="27"/>
        </w:numPr>
        <w:tabs>
          <w:tab w:val="left" w:pos="1134"/>
        </w:tabs>
        <w:contextualSpacing w:val="0"/>
        <w:jc w:val="both"/>
        <w:rPr>
          <w:color w:val="000000"/>
        </w:rPr>
      </w:pPr>
      <w:r w:rsidRPr="0029408A">
        <w:rPr>
          <w:color w:val="000000"/>
        </w:rPr>
        <w:lastRenderedPageBreak/>
        <w:t xml:space="preserve">deducted from own </w:t>
      </w:r>
      <w:proofErr w:type="gramStart"/>
      <w:r w:rsidRPr="0029408A">
        <w:rPr>
          <w:color w:val="000000"/>
        </w:rPr>
        <w:t>funds;</w:t>
      </w:r>
      <w:proofErr w:type="gramEnd"/>
    </w:p>
    <w:p w14:paraId="46CEDF85" w14:textId="77777777" w:rsidR="00B679D8" w:rsidRPr="0029408A" w:rsidRDefault="009D5201" w:rsidP="009D5201">
      <w:pPr>
        <w:pStyle w:val="ListParagraph"/>
        <w:numPr>
          <w:ilvl w:val="0"/>
          <w:numId w:val="27"/>
        </w:numPr>
        <w:tabs>
          <w:tab w:val="left" w:pos="1134"/>
        </w:tabs>
        <w:contextualSpacing w:val="0"/>
        <w:jc w:val="both"/>
        <w:rPr>
          <w:color w:val="000000"/>
        </w:rPr>
      </w:pPr>
      <w:r w:rsidRPr="0029408A">
        <w:rPr>
          <w:color w:val="000000"/>
        </w:rPr>
        <w:t xml:space="preserve">neither consolidated nor </w:t>
      </w:r>
      <w:proofErr w:type="gramStart"/>
      <w:r w:rsidRPr="0029408A">
        <w:rPr>
          <w:color w:val="000000"/>
        </w:rPr>
        <w:t>deducted;</w:t>
      </w:r>
      <w:proofErr w:type="gramEnd"/>
    </w:p>
    <w:p w14:paraId="0961BA3A" w14:textId="77777777" w:rsidR="00B679D8" w:rsidRPr="0029408A" w:rsidRDefault="00D5009F" w:rsidP="00D5009F">
      <w:pPr>
        <w:pStyle w:val="ListParagraph"/>
        <w:numPr>
          <w:ilvl w:val="0"/>
          <w:numId w:val="26"/>
        </w:numPr>
        <w:tabs>
          <w:tab w:val="left" w:pos="1134"/>
        </w:tabs>
        <w:contextualSpacing w:val="0"/>
        <w:jc w:val="both"/>
        <w:rPr>
          <w:color w:val="000000"/>
        </w:rPr>
      </w:pPr>
      <w:r w:rsidRPr="0029408A">
        <w:rPr>
          <w:color w:val="000000"/>
        </w:rPr>
        <w:t xml:space="preserve">any current or foreseen material practical or legal impediment to the prompt transfer of own funds or repayment of liabilities among the parent undertaking and its </w:t>
      </w:r>
      <w:proofErr w:type="gramStart"/>
      <w:r w:rsidRPr="0029408A">
        <w:rPr>
          <w:color w:val="000000"/>
        </w:rPr>
        <w:t>subsidiaries;</w:t>
      </w:r>
      <w:proofErr w:type="gramEnd"/>
    </w:p>
    <w:p w14:paraId="0531EC6F" w14:textId="77777777" w:rsidR="00B679D8" w:rsidRPr="0029408A" w:rsidRDefault="00D5009F" w:rsidP="00D5009F">
      <w:pPr>
        <w:pStyle w:val="ListParagraph"/>
        <w:numPr>
          <w:ilvl w:val="0"/>
          <w:numId w:val="26"/>
        </w:numPr>
        <w:tabs>
          <w:tab w:val="left" w:pos="1134"/>
        </w:tabs>
        <w:contextualSpacing w:val="0"/>
        <w:jc w:val="both"/>
        <w:rPr>
          <w:color w:val="000000"/>
        </w:rPr>
      </w:pPr>
      <w:r w:rsidRPr="0029408A">
        <w:rPr>
          <w:color w:val="000000"/>
        </w:rPr>
        <w:t xml:space="preserve">the aggregate amount by which the actual own funds are less than required in all subsidiaries not included in the consolidation, and the name or names of such </w:t>
      </w:r>
      <w:proofErr w:type="gramStart"/>
      <w:r w:rsidRPr="0029408A">
        <w:rPr>
          <w:color w:val="000000"/>
        </w:rPr>
        <w:t>subsidiaries;</w:t>
      </w:r>
      <w:proofErr w:type="gramEnd"/>
      <w:r w:rsidR="00B679D8" w:rsidRPr="0029408A">
        <w:rPr>
          <w:color w:val="000000"/>
        </w:rPr>
        <w:t xml:space="preserve"> </w:t>
      </w:r>
    </w:p>
    <w:p w14:paraId="67481BFD" w14:textId="77777777" w:rsidR="00B679D8" w:rsidRPr="0029408A" w:rsidRDefault="00163F1A" w:rsidP="00BA14E2">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Banks shall publish the following information regarding their own funds:</w:t>
      </w:r>
    </w:p>
    <w:p w14:paraId="5466A58E" w14:textId="77777777" w:rsidR="00B679D8" w:rsidRPr="0029408A" w:rsidRDefault="00B55E3F" w:rsidP="00B55E3F">
      <w:pPr>
        <w:pStyle w:val="ListParagraph"/>
        <w:numPr>
          <w:ilvl w:val="0"/>
          <w:numId w:val="28"/>
        </w:numPr>
        <w:tabs>
          <w:tab w:val="left" w:pos="1134"/>
        </w:tabs>
        <w:contextualSpacing w:val="0"/>
        <w:jc w:val="both"/>
        <w:rPr>
          <w:color w:val="000000"/>
        </w:rPr>
      </w:pPr>
      <w:r w:rsidRPr="0029408A">
        <w:rPr>
          <w:color w:val="000000"/>
        </w:rPr>
        <w:t xml:space="preserve">a full reconciliation of Common Equity Tier 1 items, Additional Tier 1 items, Tier 2 items and filters and deductions applied in accordance with the Bank's Own Funds and Capital Requirements Regulation, approved by the decision of the Executive Board of the National Bank of Moldova no. 109 of May 24, 2018 (hereinafter Regulation no. 109/2018), with the balance sheet from the audited financial statements of the </w:t>
      </w:r>
      <w:proofErr w:type="gramStart"/>
      <w:r w:rsidRPr="0029408A">
        <w:rPr>
          <w:color w:val="000000"/>
        </w:rPr>
        <w:t>bank;</w:t>
      </w:r>
      <w:proofErr w:type="gramEnd"/>
    </w:p>
    <w:p w14:paraId="00EA20F7" w14:textId="77777777" w:rsidR="00B679D8" w:rsidRPr="0029408A" w:rsidRDefault="00AB1F57" w:rsidP="00AB1F57">
      <w:pPr>
        <w:pStyle w:val="ListParagraph"/>
        <w:numPr>
          <w:ilvl w:val="0"/>
          <w:numId w:val="28"/>
        </w:numPr>
        <w:tabs>
          <w:tab w:val="left" w:pos="1134"/>
        </w:tabs>
        <w:contextualSpacing w:val="0"/>
        <w:jc w:val="both"/>
        <w:rPr>
          <w:color w:val="000000"/>
        </w:rPr>
      </w:pPr>
      <w:r w:rsidRPr="0029408A">
        <w:rPr>
          <w:color w:val="000000"/>
        </w:rPr>
        <w:t xml:space="preserve">a description of the main features of the Common Equity Tier 1 instruments, additional Equity Tier 1 instruments and additional Equity Tier 2 instruments, by publishing the form set out in Annex 9, </w:t>
      </w:r>
      <w:proofErr w:type="gramStart"/>
      <w:r w:rsidRPr="0029408A">
        <w:rPr>
          <w:color w:val="000000"/>
        </w:rPr>
        <w:t>taking into account</w:t>
      </w:r>
      <w:proofErr w:type="gramEnd"/>
      <w:r w:rsidRPr="0029408A">
        <w:rPr>
          <w:color w:val="000000"/>
        </w:rPr>
        <w:t xml:space="preserve"> the instructions provided in the given </w:t>
      </w:r>
      <w:proofErr w:type="gramStart"/>
      <w:r w:rsidRPr="0029408A">
        <w:rPr>
          <w:color w:val="000000"/>
        </w:rPr>
        <w:t>Annex;</w:t>
      </w:r>
      <w:proofErr w:type="gramEnd"/>
    </w:p>
    <w:p w14:paraId="30FF582E" w14:textId="77777777" w:rsidR="00B679D8" w:rsidRPr="0029408A" w:rsidRDefault="00F30F8A" w:rsidP="00F30F8A">
      <w:pPr>
        <w:pStyle w:val="ListParagraph"/>
        <w:numPr>
          <w:ilvl w:val="0"/>
          <w:numId w:val="28"/>
        </w:numPr>
        <w:tabs>
          <w:tab w:val="left" w:pos="1134"/>
        </w:tabs>
        <w:contextualSpacing w:val="0"/>
        <w:jc w:val="both"/>
        <w:rPr>
          <w:color w:val="000000"/>
        </w:rPr>
      </w:pPr>
      <w:r w:rsidRPr="0029408A">
        <w:rPr>
          <w:color w:val="000000"/>
        </w:rPr>
        <w:t xml:space="preserve">overview of contractual terms and conditions for all Common Equity Tier 1 instruments, additional Equity Tier 1 instruments and Equity Tier 2 </w:t>
      </w:r>
      <w:proofErr w:type="gramStart"/>
      <w:r w:rsidRPr="0029408A">
        <w:rPr>
          <w:color w:val="000000"/>
        </w:rPr>
        <w:t>instruments;</w:t>
      </w:r>
      <w:proofErr w:type="gramEnd"/>
    </w:p>
    <w:p w14:paraId="4EE6BC3F" w14:textId="77777777" w:rsidR="00B679D8" w:rsidRPr="0029408A" w:rsidRDefault="004F539B" w:rsidP="004F539B">
      <w:pPr>
        <w:pStyle w:val="ListParagraph"/>
        <w:numPr>
          <w:ilvl w:val="0"/>
          <w:numId w:val="28"/>
        </w:numPr>
        <w:tabs>
          <w:tab w:val="left" w:pos="1134"/>
        </w:tabs>
        <w:contextualSpacing w:val="0"/>
        <w:jc w:val="both"/>
        <w:rPr>
          <w:color w:val="000000"/>
        </w:rPr>
      </w:pPr>
      <w:r w:rsidRPr="0029408A">
        <w:rPr>
          <w:color w:val="000000"/>
        </w:rPr>
        <w:t xml:space="preserve">separate presentation, by publishing the form set out in Annex 10, </w:t>
      </w:r>
      <w:proofErr w:type="gramStart"/>
      <w:r w:rsidRPr="0029408A">
        <w:rPr>
          <w:color w:val="000000"/>
        </w:rPr>
        <w:t>taking into account</w:t>
      </w:r>
      <w:proofErr w:type="gramEnd"/>
      <w:r w:rsidRPr="0029408A">
        <w:rPr>
          <w:color w:val="000000"/>
        </w:rPr>
        <w:t xml:space="preserve"> the instructions provided in that Annex, of the nature and amounts on:</w:t>
      </w:r>
    </w:p>
    <w:p w14:paraId="04D09292" w14:textId="77777777" w:rsidR="00B679D8" w:rsidRPr="0029408A" w:rsidRDefault="003753C6" w:rsidP="003753C6">
      <w:pPr>
        <w:pStyle w:val="ListParagraph"/>
        <w:numPr>
          <w:ilvl w:val="0"/>
          <w:numId w:val="29"/>
        </w:numPr>
        <w:tabs>
          <w:tab w:val="left" w:pos="1134"/>
        </w:tabs>
        <w:contextualSpacing w:val="0"/>
        <w:jc w:val="both"/>
        <w:rPr>
          <w:color w:val="000000"/>
        </w:rPr>
      </w:pPr>
      <w:r w:rsidRPr="0029408A">
        <w:rPr>
          <w:color w:val="000000"/>
        </w:rPr>
        <w:t xml:space="preserve">each prudential filter applied in accordance with </w:t>
      </w:r>
      <w:r w:rsidR="007D3105" w:rsidRPr="0029408A">
        <w:rPr>
          <w:color w:val="000000"/>
        </w:rPr>
        <w:t>point</w:t>
      </w:r>
      <w:r w:rsidRPr="0029408A">
        <w:rPr>
          <w:color w:val="000000"/>
        </w:rPr>
        <w:t xml:space="preserve">s 26-29 of Regulation no. </w:t>
      </w:r>
      <w:proofErr w:type="gramStart"/>
      <w:r w:rsidRPr="0029408A">
        <w:rPr>
          <w:color w:val="000000"/>
        </w:rPr>
        <w:t>109/2018;</w:t>
      </w:r>
      <w:proofErr w:type="gramEnd"/>
    </w:p>
    <w:p w14:paraId="5093A662" w14:textId="77777777" w:rsidR="00B679D8" w:rsidRPr="0029408A" w:rsidRDefault="003753C6" w:rsidP="003753C6">
      <w:pPr>
        <w:pStyle w:val="ListParagraph"/>
        <w:numPr>
          <w:ilvl w:val="0"/>
          <w:numId w:val="29"/>
        </w:numPr>
        <w:tabs>
          <w:tab w:val="left" w:pos="1134"/>
        </w:tabs>
        <w:contextualSpacing w:val="0"/>
        <w:jc w:val="both"/>
        <w:rPr>
          <w:color w:val="000000"/>
        </w:rPr>
      </w:pPr>
      <w:r w:rsidRPr="0029408A">
        <w:rPr>
          <w:color w:val="000000"/>
        </w:rPr>
        <w:t xml:space="preserve">each deduction made in accordance with </w:t>
      </w:r>
      <w:r w:rsidR="007D3105" w:rsidRPr="0029408A">
        <w:rPr>
          <w:color w:val="000000"/>
        </w:rPr>
        <w:t>point</w:t>
      </w:r>
      <w:r w:rsidRPr="0029408A">
        <w:rPr>
          <w:color w:val="000000"/>
        </w:rPr>
        <w:t xml:space="preserve">s 30, 87 and 100 of Regulation no. </w:t>
      </w:r>
      <w:proofErr w:type="gramStart"/>
      <w:r w:rsidRPr="0029408A">
        <w:rPr>
          <w:color w:val="000000"/>
        </w:rPr>
        <w:t>109/2018;</w:t>
      </w:r>
      <w:proofErr w:type="gramEnd"/>
    </w:p>
    <w:p w14:paraId="4B62D20C" w14:textId="77777777" w:rsidR="00B679D8" w:rsidRPr="0029408A" w:rsidRDefault="00C45A52" w:rsidP="00C45A52">
      <w:pPr>
        <w:pStyle w:val="ListParagraph"/>
        <w:numPr>
          <w:ilvl w:val="0"/>
          <w:numId w:val="29"/>
        </w:numPr>
        <w:tabs>
          <w:tab w:val="left" w:pos="1134"/>
        </w:tabs>
        <w:contextualSpacing w:val="0"/>
        <w:jc w:val="both"/>
        <w:rPr>
          <w:color w:val="000000"/>
        </w:rPr>
      </w:pPr>
      <w:r w:rsidRPr="0029408A">
        <w:rPr>
          <w:color w:val="000000"/>
        </w:rPr>
        <w:t xml:space="preserve">items not deducted in accordance with </w:t>
      </w:r>
      <w:r w:rsidR="007D3105" w:rsidRPr="0029408A">
        <w:rPr>
          <w:color w:val="000000"/>
        </w:rPr>
        <w:t>point</w:t>
      </w:r>
      <w:r w:rsidRPr="0029408A">
        <w:rPr>
          <w:color w:val="000000"/>
        </w:rPr>
        <w:t xml:space="preserve">s 62, 63-67, 87, 100 and </w:t>
      </w:r>
      <w:r w:rsidR="007D3105" w:rsidRPr="0029408A">
        <w:rPr>
          <w:color w:val="000000"/>
        </w:rPr>
        <w:t>point</w:t>
      </w:r>
      <w:r w:rsidRPr="0029408A">
        <w:rPr>
          <w:color w:val="000000"/>
        </w:rPr>
        <w:t xml:space="preserve">s 126-129 of Regulation no. </w:t>
      </w:r>
      <w:proofErr w:type="gramStart"/>
      <w:r w:rsidRPr="0029408A">
        <w:rPr>
          <w:color w:val="000000"/>
        </w:rPr>
        <w:t>109/2018;</w:t>
      </w:r>
      <w:proofErr w:type="gramEnd"/>
    </w:p>
    <w:p w14:paraId="2920E509" w14:textId="77777777" w:rsidR="00B679D8" w:rsidRPr="0029408A" w:rsidRDefault="00C45A52" w:rsidP="00C45A52">
      <w:pPr>
        <w:pStyle w:val="ListParagraph"/>
        <w:numPr>
          <w:ilvl w:val="0"/>
          <w:numId w:val="28"/>
        </w:numPr>
        <w:tabs>
          <w:tab w:val="left" w:pos="1134"/>
        </w:tabs>
        <w:contextualSpacing w:val="0"/>
        <w:jc w:val="both"/>
        <w:rPr>
          <w:color w:val="000000"/>
        </w:rPr>
      </w:pPr>
      <w:r w:rsidRPr="0029408A">
        <w:rPr>
          <w:color w:val="000000"/>
        </w:rPr>
        <w:t xml:space="preserve">a description of all restrictions applied to the calculation of own funds in accordance with Regulation No 109/2018, as well as of the instruments, prudential filters or deductions to which these restrictions apply, by publishing the form set out in Annex 10, </w:t>
      </w:r>
      <w:proofErr w:type="gramStart"/>
      <w:r w:rsidRPr="0029408A">
        <w:rPr>
          <w:color w:val="000000"/>
        </w:rPr>
        <w:t>taking into account</w:t>
      </w:r>
      <w:proofErr w:type="gramEnd"/>
      <w:r w:rsidRPr="0029408A">
        <w:rPr>
          <w:color w:val="000000"/>
        </w:rPr>
        <w:t xml:space="preserve"> the instructions provided in the given </w:t>
      </w:r>
      <w:proofErr w:type="gramStart"/>
      <w:r w:rsidRPr="0029408A">
        <w:rPr>
          <w:color w:val="000000"/>
        </w:rPr>
        <w:t>Annex;</w:t>
      </w:r>
      <w:proofErr w:type="gramEnd"/>
    </w:p>
    <w:p w14:paraId="6DFF5977" w14:textId="77777777" w:rsidR="00B679D8" w:rsidRPr="0029408A" w:rsidRDefault="005E6339" w:rsidP="00BA14E2">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 xml:space="preserve">For the purposes of </w:t>
      </w:r>
      <w:r w:rsidR="007D3105" w:rsidRPr="0029408A">
        <w:rPr>
          <w:color w:val="000000"/>
          <w:lang w:val="en-GB"/>
        </w:rPr>
        <w:t>point</w:t>
      </w:r>
      <w:r w:rsidRPr="0029408A">
        <w:rPr>
          <w:color w:val="000000"/>
          <w:lang w:val="en-GB"/>
        </w:rPr>
        <w:t xml:space="preserve"> 56 sub-</w:t>
      </w:r>
      <w:r w:rsidR="007D3105" w:rsidRPr="0029408A">
        <w:rPr>
          <w:color w:val="000000"/>
          <w:lang w:val="en-GB"/>
        </w:rPr>
        <w:t>point</w:t>
      </w:r>
      <w:r w:rsidRPr="0029408A">
        <w:rPr>
          <w:color w:val="000000"/>
          <w:lang w:val="en-GB"/>
        </w:rPr>
        <w:t xml:space="preserve"> (1), banks shall apply the methodology set out in Annex 8 and shall publish balance sheet reconciliation information resulting from the application of that methodology.</w:t>
      </w:r>
    </w:p>
    <w:p w14:paraId="78182A34" w14:textId="77777777" w:rsidR="00307316" w:rsidRPr="0029408A" w:rsidRDefault="004A1149" w:rsidP="00BA14E2">
      <w:pPr>
        <w:pStyle w:val="tt"/>
        <w:numPr>
          <w:ilvl w:val="0"/>
          <w:numId w:val="12"/>
        </w:numPr>
        <w:tabs>
          <w:tab w:val="left" w:pos="567"/>
        </w:tabs>
        <w:spacing w:before="0" w:beforeAutospacing="0" w:after="0" w:afterAutospacing="0"/>
        <w:ind w:left="0" w:firstLine="0"/>
        <w:jc w:val="both"/>
        <w:rPr>
          <w:b/>
          <w:color w:val="000000"/>
          <w:lang w:val="en-GB"/>
        </w:rPr>
      </w:pPr>
      <w:bookmarkStart w:id="4" w:name="_Ref9423827"/>
      <w:r w:rsidRPr="0029408A">
        <w:rPr>
          <w:color w:val="000000"/>
          <w:lang w:val="en-GB"/>
        </w:rPr>
        <w:t xml:space="preserve">Banks shall publish the own funds requirements set out in </w:t>
      </w:r>
      <w:r w:rsidR="007D3105" w:rsidRPr="0029408A">
        <w:rPr>
          <w:color w:val="000000"/>
          <w:lang w:val="en-GB"/>
        </w:rPr>
        <w:t>point</w:t>
      </w:r>
      <w:r w:rsidRPr="0029408A">
        <w:rPr>
          <w:color w:val="000000"/>
          <w:lang w:val="en-GB"/>
        </w:rPr>
        <w:t xml:space="preserve"> 132 sub-</w:t>
      </w:r>
      <w:r w:rsidR="007D3105" w:rsidRPr="0029408A">
        <w:rPr>
          <w:color w:val="000000"/>
          <w:lang w:val="en-GB"/>
        </w:rPr>
        <w:t>point</w:t>
      </w:r>
      <w:r w:rsidRPr="0029408A">
        <w:rPr>
          <w:color w:val="000000"/>
          <w:lang w:val="en-GB"/>
        </w:rPr>
        <w:t xml:space="preserve"> (2) and (3) of Regulation No 109/2018 separately for each risk specified in those sub-</w:t>
      </w:r>
      <w:r w:rsidR="007D3105" w:rsidRPr="0029408A">
        <w:rPr>
          <w:color w:val="000000"/>
          <w:lang w:val="en-GB"/>
        </w:rPr>
        <w:t>point</w:t>
      </w:r>
      <w:r w:rsidRPr="0029408A">
        <w:rPr>
          <w:color w:val="000000"/>
          <w:lang w:val="en-GB"/>
        </w:rPr>
        <w:t>s.</w:t>
      </w:r>
    </w:p>
    <w:bookmarkEnd w:id="4"/>
    <w:p w14:paraId="52181662" w14:textId="77777777" w:rsidR="00B679D8" w:rsidRPr="0029408A" w:rsidRDefault="00764762" w:rsidP="00BA14E2">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 xml:space="preserve">Banks shall publish the following information regarding the compliance with the capital requirements provided by </w:t>
      </w:r>
      <w:r w:rsidR="007D3105" w:rsidRPr="0029408A">
        <w:rPr>
          <w:color w:val="000000"/>
          <w:lang w:val="en-GB"/>
        </w:rPr>
        <w:t>point</w:t>
      </w:r>
      <w:r w:rsidRPr="0029408A">
        <w:rPr>
          <w:color w:val="000000"/>
          <w:lang w:val="en-GB"/>
        </w:rPr>
        <w:t xml:space="preserve"> 130 of Regulation no. 109/2018 and by Art. 78 of Law no. 202/2017, with reference to </w:t>
      </w:r>
      <w:r w:rsidR="007D35B5" w:rsidRPr="0029408A">
        <w:rPr>
          <w:color w:val="000000"/>
          <w:lang w:val="en-GB"/>
        </w:rPr>
        <w:t>capital adequacy assessment processes</w:t>
      </w:r>
      <w:r w:rsidRPr="0029408A">
        <w:rPr>
          <w:color w:val="000000"/>
          <w:lang w:val="en-GB"/>
        </w:rPr>
        <w:t xml:space="preserve"> (ICAAP), namely:</w:t>
      </w:r>
    </w:p>
    <w:p w14:paraId="011F936F" w14:textId="77777777" w:rsidR="00B679D8" w:rsidRPr="0029408A" w:rsidRDefault="00147108" w:rsidP="00147108">
      <w:pPr>
        <w:pStyle w:val="ListParagraph"/>
        <w:numPr>
          <w:ilvl w:val="0"/>
          <w:numId w:val="30"/>
        </w:numPr>
        <w:tabs>
          <w:tab w:val="left" w:pos="1134"/>
        </w:tabs>
        <w:contextualSpacing w:val="0"/>
        <w:jc w:val="both"/>
        <w:rPr>
          <w:color w:val="000000"/>
        </w:rPr>
      </w:pPr>
      <w:r w:rsidRPr="0029408A">
        <w:rPr>
          <w:color w:val="000000"/>
        </w:rPr>
        <w:t xml:space="preserve">a summary of the method used by the bank to assess the adequacy of internal capital </w:t>
      </w:r>
      <w:proofErr w:type="gramStart"/>
      <w:r w:rsidRPr="0029408A">
        <w:rPr>
          <w:color w:val="000000"/>
        </w:rPr>
        <w:t>in order to</w:t>
      </w:r>
      <w:proofErr w:type="gramEnd"/>
      <w:r w:rsidRPr="0029408A">
        <w:rPr>
          <w:color w:val="000000"/>
        </w:rPr>
        <w:t xml:space="preserve"> support current and future </w:t>
      </w:r>
      <w:proofErr w:type="gramStart"/>
      <w:r w:rsidRPr="0029408A">
        <w:rPr>
          <w:color w:val="000000"/>
        </w:rPr>
        <w:t>activities;</w:t>
      </w:r>
      <w:proofErr w:type="gramEnd"/>
      <w:r w:rsidR="00B679D8" w:rsidRPr="0029408A">
        <w:rPr>
          <w:color w:val="000000"/>
        </w:rPr>
        <w:t xml:space="preserve"> </w:t>
      </w:r>
    </w:p>
    <w:p w14:paraId="3367B708" w14:textId="77777777" w:rsidR="00B679D8" w:rsidRPr="0029408A" w:rsidRDefault="00147108" w:rsidP="00147108">
      <w:pPr>
        <w:pStyle w:val="ListParagraph"/>
        <w:numPr>
          <w:ilvl w:val="0"/>
          <w:numId w:val="30"/>
        </w:numPr>
        <w:tabs>
          <w:tab w:val="left" w:pos="1134"/>
        </w:tabs>
        <w:contextualSpacing w:val="0"/>
        <w:jc w:val="both"/>
        <w:rPr>
          <w:color w:val="000000"/>
        </w:rPr>
      </w:pPr>
      <w:r w:rsidRPr="0029408A">
        <w:rPr>
          <w:color w:val="000000"/>
        </w:rPr>
        <w:t xml:space="preserve">the results of the internal process of assessing the adequacy of its internal capital, including the composition of the additional own funds requirements based on the supervisory analysis process as mentioned in Art. 139 para. (3) letter a) of Law no. </w:t>
      </w:r>
      <w:proofErr w:type="gramStart"/>
      <w:r w:rsidRPr="0029408A">
        <w:rPr>
          <w:color w:val="000000"/>
        </w:rPr>
        <w:t>202/2017;</w:t>
      </w:r>
      <w:proofErr w:type="gramEnd"/>
    </w:p>
    <w:p w14:paraId="2CE5801B" w14:textId="77777777" w:rsidR="00B679D8" w:rsidRPr="0029408A" w:rsidRDefault="00841364" w:rsidP="00841364">
      <w:pPr>
        <w:pStyle w:val="ListParagraph"/>
        <w:numPr>
          <w:ilvl w:val="0"/>
          <w:numId w:val="30"/>
        </w:numPr>
        <w:tabs>
          <w:tab w:val="left" w:pos="1134"/>
        </w:tabs>
        <w:contextualSpacing w:val="0"/>
        <w:jc w:val="both"/>
        <w:rPr>
          <w:color w:val="000000"/>
        </w:rPr>
      </w:pPr>
      <w:r w:rsidRPr="0029408A">
        <w:rPr>
          <w:color w:val="000000"/>
        </w:rPr>
        <w:t xml:space="preserve">the risk-weighted exposure amounts for each exposure class specified in </w:t>
      </w:r>
      <w:r w:rsidR="007D3105" w:rsidRPr="0029408A">
        <w:rPr>
          <w:color w:val="000000"/>
        </w:rPr>
        <w:t>point</w:t>
      </w:r>
      <w:r w:rsidRPr="0029408A">
        <w:rPr>
          <w:color w:val="000000"/>
        </w:rPr>
        <w:t xml:space="preserve"> 11 of the Regulation on the treatment of credit risk for banks according to the standardized approach, approved by the decision of the Executive Board of the National Bank of Moldova no. 111 of 24 May 2018 (hereinafter Regulation no. 111/2018), which is included in the calculation of the own </w:t>
      </w:r>
      <w:proofErr w:type="gramStart"/>
      <w:r w:rsidRPr="0029408A">
        <w:rPr>
          <w:color w:val="000000"/>
        </w:rPr>
        <w:t>funds</w:t>
      </w:r>
      <w:proofErr w:type="gramEnd"/>
      <w:r w:rsidRPr="0029408A">
        <w:rPr>
          <w:color w:val="000000"/>
        </w:rPr>
        <w:t xml:space="preserve"> requirement indicator of </w:t>
      </w:r>
      <w:proofErr w:type="gramStart"/>
      <w:r w:rsidRPr="0029408A">
        <w:rPr>
          <w:color w:val="000000"/>
        </w:rPr>
        <w:t>10%;</w:t>
      </w:r>
      <w:proofErr w:type="gramEnd"/>
    </w:p>
    <w:p w14:paraId="7B7054BF" w14:textId="77777777" w:rsidR="00B679D8" w:rsidRPr="0029408A" w:rsidRDefault="00841364" w:rsidP="00841364">
      <w:pPr>
        <w:pStyle w:val="ListParagraph"/>
        <w:numPr>
          <w:ilvl w:val="0"/>
          <w:numId w:val="30"/>
        </w:numPr>
        <w:tabs>
          <w:tab w:val="left" w:pos="1134"/>
        </w:tabs>
        <w:contextualSpacing w:val="0"/>
        <w:jc w:val="both"/>
        <w:rPr>
          <w:color w:val="000000"/>
        </w:rPr>
      </w:pPr>
      <w:r w:rsidRPr="0029408A">
        <w:rPr>
          <w:color w:val="000000"/>
        </w:rPr>
        <w:t xml:space="preserve">the own funds requirements calculated in accordance with </w:t>
      </w:r>
      <w:r w:rsidR="007D3105" w:rsidRPr="0029408A">
        <w:rPr>
          <w:color w:val="000000"/>
        </w:rPr>
        <w:t>point</w:t>
      </w:r>
      <w:r w:rsidRPr="0029408A">
        <w:rPr>
          <w:color w:val="000000"/>
        </w:rPr>
        <w:t xml:space="preserve"> 132, sub-</w:t>
      </w:r>
      <w:r w:rsidR="007D3105" w:rsidRPr="0029408A">
        <w:rPr>
          <w:color w:val="000000"/>
        </w:rPr>
        <w:t>point</w:t>
      </w:r>
      <w:r w:rsidRPr="0029408A">
        <w:rPr>
          <w:color w:val="000000"/>
        </w:rPr>
        <w:t xml:space="preserve">s 2), 3) and 4) of Regulation no. </w:t>
      </w:r>
      <w:proofErr w:type="gramStart"/>
      <w:r w:rsidRPr="0029408A">
        <w:rPr>
          <w:color w:val="000000"/>
        </w:rPr>
        <w:t>109/2018;</w:t>
      </w:r>
      <w:proofErr w:type="gramEnd"/>
    </w:p>
    <w:p w14:paraId="1F703024" w14:textId="77777777" w:rsidR="00B679D8" w:rsidRPr="0029408A" w:rsidRDefault="0079560E" w:rsidP="0079560E">
      <w:pPr>
        <w:pStyle w:val="ListParagraph"/>
        <w:numPr>
          <w:ilvl w:val="0"/>
          <w:numId w:val="30"/>
        </w:numPr>
        <w:tabs>
          <w:tab w:val="left" w:pos="1134"/>
        </w:tabs>
        <w:contextualSpacing w:val="0"/>
        <w:jc w:val="both"/>
        <w:rPr>
          <w:color w:val="000000"/>
        </w:rPr>
      </w:pPr>
      <w:r w:rsidRPr="0029408A">
        <w:rPr>
          <w:color w:val="000000"/>
        </w:rPr>
        <w:lastRenderedPageBreak/>
        <w:t>own funds requirements calculated in accordance with the Regulation on the treatment of operational risk for banks according to the basic approach and the standardized approach, approved by the Decision of the Executive Board of the National Bank of Moldova no.113 of 24 May 2018 and published separately.</w:t>
      </w:r>
    </w:p>
    <w:p w14:paraId="2DF3A3FB" w14:textId="77777777" w:rsidR="00B679D8" w:rsidRPr="0029408A" w:rsidRDefault="00305262" w:rsidP="00BA14E2">
      <w:pPr>
        <w:pStyle w:val="tt"/>
        <w:numPr>
          <w:ilvl w:val="0"/>
          <w:numId w:val="12"/>
        </w:numPr>
        <w:tabs>
          <w:tab w:val="left" w:pos="567"/>
          <w:tab w:val="left" w:pos="1134"/>
        </w:tabs>
        <w:spacing w:before="0" w:beforeAutospacing="0" w:after="0" w:afterAutospacing="0"/>
        <w:ind w:left="0" w:firstLine="0"/>
        <w:jc w:val="both"/>
        <w:rPr>
          <w:b/>
          <w:color w:val="000000"/>
          <w:lang w:val="en-GB"/>
        </w:rPr>
      </w:pPr>
      <w:r w:rsidRPr="0029408A">
        <w:rPr>
          <w:color w:val="000000"/>
          <w:lang w:val="en-GB"/>
        </w:rPr>
        <w:t xml:space="preserve">The information referred to in </w:t>
      </w:r>
      <w:r w:rsidR="007D3105" w:rsidRPr="0029408A">
        <w:rPr>
          <w:color w:val="000000"/>
          <w:lang w:val="en-GB"/>
        </w:rPr>
        <w:t>point</w:t>
      </w:r>
      <w:r w:rsidRPr="0029408A">
        <w:rPr>
          <w:color w:val="000000"/>
          <w:lang w:val="en-GB"/>
        </w:rPr>
        <w:t>s 59 sub-</w:t>
      </w:r>
      <w:r w:rsidR="007D3105" w:rsidRPr="0029408A">
        <w:rPr>
          <w:color w:val="000000"/>
          <w:lang w:val="en-GB"/>
        </w:rPr>
        <w:t>point</w:t>
      </w:r>
      <w:r w:rsidRPr="0029408A">
        <w:rPr>
          <w:color w:val="000000"/>
          <w:lang w:val="en-GB"/>
        </w:rPr>
        <w:t xml:space="preserve">s (3) to (5) shall be published at least quarterly in accordance with the form set out in Annex 11 and shall be published as separate information from the report published in accordance with </w:t>
      </w:r>
      <w:r w:rsidR="007D3105" w:rsidRPr="0029408A">
        <w:rPr>
          <w:color w:val="000000"/>
          <w:lang w:val="en-GB"/>
        </w:rPr>
        <w:t>point</w:t>
      </w:r>
      <w:r w:rsidRPr="0029408A">
        <w:rPr>
          <w:color w:val="000000"/>
          <w:lang w:val="en-GB"/>
        </w:rPr>
        <w:t xml:space="preserve"> 47, except in the case of annual reporting. </w:t>
      </w:r>
      <w:r w:rsidR="00B679D8" w:rsidRPr="0029408A">
        <w:rPr>
          <w:color w:val="000000"/>
          <w:lang w:val="en-GB"/>
        </w:rPr>
        <w:t xml:space="preserve"> </w:t>
      </w:r>
    </w:p>
    <w:p w14:paraId="76E691EC" w14:textId="77777777" w:rsidR="00B679D8" w:rsidRPr="0029408A" w:rsidRDefault="008D07F5" w:rsidP="00BA14E2">
      <w:pPr>
        <w:pStyle w:val="tt"/>
        <w:numPr>
          <w:ilvl w:val="0"/>
          <w:numId w:val="12"/>
        </w:numPr>
        <w:tabs>
          <w:tab w:val="left" w:pos="567"/>
          <w:tab w:val="left" w:pos="1134"/>
        </w:tabs>
        <w:spacing w:before="0" w:beforeAutospacing="0" w:after="0" w:afterAutospacing="0"/>
        <w:ind w:left="0" w:firstLine="0"/>
        <w:jc w:val="both"/>
        <w:rPr>
          <w:b/>
          <w:color w:val="000000"/>
          <w:lang w:val="en-GB"/>
        </w:rPr>
      </w:pPr>
      <w:r w:rsidRPr="0029408A">
        <w:rPr>
          <w:color w:val="000000"/>
          <w:lang w:val="en-GB"/>
        </w:rPr>
        <w:t xml:space="preserve">Banks shall publish the following information regarding the </w:t>
      </w:r>
      <w:r w:rsidRPr="0029408A">
        <w:rPr>
          <w:b/>
          <w:color w:val="000000"/>
          <w:lang w:val="en-GB"/>
        </w:rPr>
        <w:t>bank's exposure to counterparty credit risk</w:t>
      </w:r>
      <w:r w:rsidRPr="0029408A">
        <w:rPr>
          <w:color w:val="000000"/>
          <w:lang w:val="en-GB"/>
        </w:rPr>
        <w:t>, as mentioned in the Regulation on counterparty credit risk treatment, approved by Decision of the Executive Board of the National Bank of Moldova no.102 of 16 April 2020 (hereinafter - Regulation No 102/2020):</w:t>
      </w:r>
    </w:p>
    <w:p w14:paraId="0678FE5A" w14:textId="77777777" w:rsidR="00B679D8" w:rsidRPr="0029408A" w:rsidRDefault="004164A8" w:rsidP="004164A8">
      <w:pPr>
        <w:pStyle w:val="ListParagraph"/>
        <w:numPr>
          <w:ilvl w:val="0"/>
          <w:numId w:val="31"/>
        </w:numPr>
        <w:tabs>
          <w:tab w:val="left" w:pos="1134"/>
        </w:tabs>
        <w:contextualSpacing w:val="0"/>
        <w:jc w:val="both"/>
        <w:rPr>
          <w:color w:val="000000"/>
        </w:rPr>
      </w:pPr>
      <w:r w:rsidRPr="0029408A">
        <w:rPr>
          <w:color w:val="000000"/>
        </w:rPr>
        <w:t xml:space="preserve">a description of the methodology used to allocate internal capital and to establish credit limits related to counterparty credit risk </w:t>
      </w:r>
      <w:proofErr w:type="gramStart"/>
      <w:r w:rsidRPr="0029408A">
        <w:rPr>
          <w:color w:val="000000"/>
        </w:rPr>
        <w:t>exposures;</w:t>
      </w:r>
      <w:proofErr w:type="gramEnd"/>
    </w:p>
    <w:p w14:paraId="6AC280A9" w14:textId="77777777" w:rsidR="00B679D8" w:rsidRPr="0029408A" w:rsidRDefault="004164A8" w:rsidP="004164A8">
      <w:pPr>
        <w:pStyle w:val="ListParagraph"/>
        <w:numPr>
          <w:ilvl w:val="0"/>
          <w:numId w:val="31"/>
        </w:numPr>
        <w:tabs>
          <w:tab w:val="left" w:pos="1134"/>
        </w:tabs>
        <w:contextualSpacing w:val="0"/>
        <w:jc w:val="both"/>
        <w:rPr>
          <w:color w:val="000000"/>
        </w:rPr>
      </w:pPr>
      <w:r w:rsidRPr="0029408A">
        <w:rPr>
          <w:color w:val="000000"/>
        </w:rPr>
        <w:t xml:space="preserve">a description of the policies for obtaining collateral and the elements for mitigating risks and counterparty risk </w:t>
      </w:r>
      <w:proofErr w:type="gramStart"/>
      <w:r w:rsidRPr="0029408A">
        <w:rPr>
          <w:color w:val="000000"/>
        </w:rPr>
        <w:t>assessments;</w:t>
      </w:r>
      <w:proofErr w:type="gramEnd"/>
      <w:r w:rsidR="00B679D8" w:rsidRPr="0029408A">
        <w:rPr>
          <w:i/>
          <w:color w:val="000000"/>
        </w:rPr>
        <w:t xml:space="preserve"> </w:t>
      </w:r>
    </w:p>
    <w:p w14:paraId="42CEB58D" w14:textId="77777777" w:rsidR="00B679D8" w:rsidRPr="0029408A" w:rsidRDefault="004164A8" w:rsidP="004164A8">
      <w:pPr>
        <w:pStyle w:val="ListParagraph"/>
        <w:numPr>
          <w:ilvl w:val="0"/>
          <w:numId w:val="31"/>
        </w:numPr>
        <w:tabs>
          <w:tab w:val="left" w:pos="1134"/>
        </w:tabs>
        <w:contextualSpacing w:val="0"/>
        <w:jc w:val="both"/>
        <w:rPr>
          <w:color w:val="000000"/>
        </w:rPr>
      </w:pPr>
      <w:r w:rsidRPr="0029408A">
        <w:rPr>
          <w:color w:val="000000"/>
        </w:rPr>
        <w:t xml:space="preserve">a description of the impact of the value of the collateral that the bank should provide in the event of the deterioration of its credit </w:t>
      </w:r>
      <w:proofErr w:type="gramStart"/>
      <w:r w:rsidRPr="0029408A">
        <w:rPr>
          <w:color w:val="000000"/>
        </w:rPr>
        <w:t>rating;</w:t>
      </w:r>
      <w:proofErr w:type="gramEnd"/>
    </w:p>
    <w:p w14:paraId="0F17BA1E" w14:textId="77777777" w:rsidR="00B679D8" w:rsidRPr="0029408A" w:rsidRDefault="00080D2A" w:rsidP="00080D2A">
      <w:pPr>
        <w:pStyle w:val="ListParagraph"/>
        <w:numPr>
          <w:ilvl w:val="0"/>
          <w:numId w:val="31"/>
        </w:numPr>
        <w:tabs>
          <w:tab w:val="left" w:pos="1134"/>
        </w:tabs>
        <w:contextualSpacing w:val="0"/>
        <w:jc w:val="both"/>
        <w:rPr>
          <w:color w:val="000000"/>
        </w:rPr>
      </w:pPr>
      <w:r w:rsidRPr="0029408A">
        <w:rPr>
          <w:color w:val="000000"/>
        </w:rPr>
        <w:t xml:space="preserve">gross positive fair value of contracts, netting benefits, netted current credit exposure, collateral held and net derivatives credit exposure. Net derivatives credit exposure is the credit exposure on derivatives transactions after considering both the benefits from legally enforceable netting agreements and collateral </w:t>
      </w:r>
      <w:proofErr w:type="gramStart"/>
      <w:r w:rsidRPr="0029408A">
        <w:rPr>
          <w:color w:val="000000"/>
        </w:rPr>
        <w:t>arrangements;</w:t>
      </w:r>
      <w:proofErr w:type="gramEnd"/>
      <w:r w:rsidR="00B679D8" w:rsidRPr="0029408A">
        <w:rPr>
          <w:i/>
          <w:color w:val="000000"/>
        </w:rPr>
        <w:t xml:space="preserve"> </w:t>
      </w:r>
    </w:p>
    <w:p w14:paraId="1C4BC6D9" w14:textId="77777777" w:rsidR="00B679D8" w:rsidRPr="0029408A" w:rsidRDefault="00797501" w:rsidP="00797501">
      <w:pPr>
        <w:pStyle w:val="ListParagraph"/>
        <w:numPr>
          <w:ilvl w:val="0"/>
          <w:numId w:val="31"/>
        </w:numPr>
        <w:tabs>
          <w:tab w:val="left" w:pos="1134"/>
        </w:tabs>
        <w:contextualSpacing w:val="0"/>
        <w:jc w:val="both"/>
        <w:rPr>
          <w:color w:val="000000"/>
        </w:rPr>
      </w:pPr>
      <w:r w:rsidRPr="0029408A">
        <w:rPr>
          <w:color w:val="000000"/>
        </w:rPr>
        <w:t xml:space="preserve">measures </w:t>
      </w:r>
      <w:proofErr w:type="gramStart"/>
      <w:r w:rsidRPr="0029408A">
        <w:rPr>
          <w:color w:val="000000"/>
        </w:rPr>
        <w:t>for the amount of</w:t>
      </w:r>
      <w:proofErr w:type="gramEnd"/>
      <w:r w:rsidRPr="0029408A">
        <w:rPr>
          <w:color w:val="000000"/>
        </w:rPr>
        <w:t xml:space="preserve"> exposure in accordance with the models set out in the counterparty's credit risk management regulations, regardless of the method </w:t>
      </w:r>
      <w:proofErr w:type="gramStart"/>
      <w:r w:rsidRPr="0029408A">
        <w:rPr>
          <w:color w:val="000000"/>
        </w:rPr>
        <w:t>used;</w:t>
      </w:r>
      <w:proofErr w:type="gramEnd"/>
      <w:r w:rsidR="00B679D8" w:rsidRPr="0029408A">
        <w:rPr>
          <w:i/>
          <w:color w:val="000000"/>
        </w:rPr>
        <w:t xml:space="preserve"> </w:t>
      </w:r>
    </w:p>
    <w:p w14:paraId="22184448" w14:textId="77777777" w:rsidR="00B679D8" w:rsidRPr="0029408A" w:rsidRDefault="00797501" w:rsidP="00797501">
      <w:pPr>
        <w:pStyle w:val="ListParagraph"/>
        <w:numPr>
          <w:ilvl w:val="0"/>
          <w:numId w:val="31"/>
        </w:numPr>
        <w:tabs>
          <w:tab w:val="left" w:pos="1134"/>
        </w:tabs>
        <w:contextualSpacing w:val="0"/>
        <w:jc w:val="both"/>
        <w:rPr>
          <w:color w:val="000000"/>
        </w:rPr>
      </w:pPr>
      <w:r w:rsidRPr="0029408A">
        <w:rPr>
          <w:color w:val="000000"/>
        </w:rPr>
        <w:t xml:space="preserve">the notional amount of hedges with credit derivatives, as well as the distribution of current credit exposures by types of credit </w:t>
      </w:r>
      <w:proofErr w:type="gramStart"/>
      <w:r w:rsidRPr="0029408A">
        <w:rPr>
          <w:color w:val="000000"/>
        </w:rPr>
        <w:t>exposures;</w:t>
      </w:r>
      <w:proofErr w:type="gramEnd"/>
      <w:r w:rsidR="00B679D8" w:rsidRPr="0029408A">
        <w:rPr>
          <w:i/>
          <w:color w:val="000000"/>
        </w:rPr>
        <w:t xml:space="preserve"> </w:t>
      </w:r>
    </w:p>
    <w:p w14:paraId="180042A5" w14:textId="77777777" w:rsidR="00B679D8" w:rsidRPr="0029408A" w:rsidRDefault="00387E1A" w:rsidP="00387E1A">
      <w:pPr>
        <w:pStyle w:val="ListParagraph"/>
        <w:numPr>
          <w:ilvl w:val="0"/>
          <w:numId w:val="31"/>
        </w:numPr>
        <w:tabs>
          <w:tab w:val="left" w:pos="1134"/>
        </w:tabs>
        <w:contextualSpacing w:val="0"/>
        <w:jc w:val="both"/>
        <w:rPr>
          <w:color w:val="000000"/>
        </w:rPr>
      </w:pPr>
      <w:r w:rsidRPr="0029408A">
        <w:rPr>
          <w:color w:val="000000"/>
        </w:rPr>
        <w:t>notional amounts of transactions in credit derivatives, segregated from the perspective of use in transactions carried out for the bank's own credit portfolio, as well as in transactions related to intermediation activities, including the distribution of credit derivatives used, further broken down in each product group, in purchased protections and provided protections.</w:t>
      </w:r>
      <w:r w:rsidR="00B679D8" w:rsidRPr="0029408A">
        <w:rPr>
          <w:i/>
          <w:color w:val="000000"/>
        </w:rPr>
        <w:t xml:space="preserve"> </w:t>
      </w:r>
    </w:p>
    <w:p w14:paraId="5D09682A" w14:textId="77777777" w:rsidR="00F04069" w:rsidRPr="0029408A" w:rsidRDefault="005D69AF" w:rsidP="00BA14E2">
      <w:pPr>
        <w:pStyle w:val="tt"/>
        <w:numPr>
          <w:ilvl w:val="0"/>
          <w:numId w:val="12"/>
        </w:numPr>
        <w:tabs>
          <w:tab w:val="left" w:pos="567"/>
          <w:tab w:val="left" w:pos="1134"/>
        </w:tabs>
        <w:spacing w:before="0" w:beforeAutospacing="0" w:after="0" w:afterAutospacing="0"/>
        <w:ind w:left="0" w:firstLine="0"/>
        <w:jc w:val="both"/>
        <w:rPr>
          <w:rFonts w:eastAsia="Arial Unicode MS"/>
          <w:b/>
          <w:bCs/>
          <w:color w:val="000000"/>
          <w:lang w:val="en-GB"/>
        </w:rPr>
      </w:pPr>
      <w:r w:rsidRPr="0029408A">
        <w:rPr>
          <w:rFonts w:eastAsia="Arial Unicode MS"/>
          <w:bCs/>
          <w:color w:val="000000"/>
          <w:lang w:val="en-GB"/>
        </w:rPr>
        <w:t xml:space="preserve">Banks shall publish the following information for each exposure class specified in </w:t>
      </w:r>
      <w:r w:rsidR="007D3105" w:rsidRPr="0029408A">
        <w:rPr>
          <w:rFonts w:eastAsia="Arial Unicode MS"/>
          <w:bCs/>
          <w:color w:val="000000"/>
          <w:lang w:val="en-GB"/>
        </w:rPr>
        <w:t>point</w:t>
      </w:r>
      <w:r w:rsidRPr="0029408A">
        <w:rPr>
          <w:rFonts w:eastAsia="Arial Unicode MS"/>
          <w:bCs/>
          <w:color w:val="000000"/>
          <w:lang w:val="en-GB"/>
        </w:rPr>
        <w:t xml:space="preserve"> 11 of Regulation No </w:t>
      </w:r>
      <w:r w:rsidRPr="0029408A">
        <w:rPr>
          <w:color w:val="000000"/>
          <w:lang w:val="en-GB"/>
        </w:rPr>
        <w:t>111</w:t>
      </w:r>
      <w:r w:rsidRPr="0029408A">
        <w:rPr>
          <w:rFonts w:eastAsia="Arial Unicode MS"/>
          <w:bCs/>
          <w:color w:val="000000"/>
          <w:lang w:val="en-GB"/>
        </w:rPr>
        <w:t>/2018:</w:t>
      </w:r>
    </w:p>
    <w:p w14:paraId="4CEE0440" w14:textId="77777777" w:rsidR="00F04069" w:rsidRPr="0029408A" w:rsidRDefault="00B57881" w:rsidP="00B57881">
      <w:pPr>
        <w:pStyle w:val="ListParagraph"/>
        <w:numPr>
          <w:ilvl w:val="0"/>
          <w:numId w:val="36"/>
        </w:numPr>
        <w:tabs>
          <w:tab w:val="left" w:pos="1134"/>
        </w:tabs>
        <w:contextualSpacing w:val="0"/>
        <w:jc w:val="both"/>
        <w:rPr>
          <w:color w:val="000000"/>
        </w:rPr>
      </w:pPr>
      <w:r w:rsidRPr="0029408A">
        <w:rPr>
          <w:color w:val="000000"/>
        </w:rPr>
        <w:t xml:space="preserve">the name of the designated external credit assessment institutions (ECAIs) or designated export credit agencies and the reasons for any </w:t>
      </w:r>
      <w:proofErr w:type="gramStart"/>
      <w:r w:rsidRPr="0029408A">
        <w:rPr>
          <w:color w:val="000000"/>
        </w:rPr>
        <w:t>replacements;</w:t>
      </w:r>
      <w:proofErr w:type="gramEnd"/>
    </w:p>
    <w:p w14:paraId="6225E1CA" w14:textId="77777777" w:rsidR="00F04069" w:rsidRPr="0029408A" w:rsidRDefault="00B57881" w:rsidP="00B57881">
      <w:pPr>
        <w:pStyle w:val="ListParagraph"/>
        <w:numPr>
          <w:ilvl w:val="0"/>
          <w:numId w:val="36"/>
        </w:numPr>
        <w:tabs>
          <w:tab w:val="left" w:pos="1134"/>
        </w:tabs>
        <w:contextualSpacing w:val="0"/>
        <w:jc w:val="both"/>
        <w:rPr>
          <w:color w:val="000000"/>
        </w:rPr>
      </w:pPr>
      <w:r w:rsidRPr="0029408A">
        <w:rPr>
          <w:color w:val="000000"/>
        </w:rPr>
        <w:t xml:space="preserve">the classes of exposures for which a particular ECAI or a particular export credit agency is </w:t>
      </w:r>
      <w:proofErr w:type="gramStart"/>
      <w:r w:rsidRPr="0029408A">
        <w:rPr>
          <w:color w:val="000000"/>
        </w:rPr>
        <w:t>used;</w:t>
      </w:r>
      <w:proofErr w:type="gramEnd"/>
    </w:p>
    <w:p w14:paraId="6253FAB7" w14:textId="77777777" w:rsidR="00F04069" w:rsidRPr="0029408A" w:rsidRDefault="00B57881" w:rsidP="00B57881">
      <w:pPr>
        <w:pStyle w:val="ListParagraph"/>
        <w:numPr>
          <w:ilvl w:val="0"/>
          <w:numId w:val="36"/>
        </w:numPr>
        <w:tabs>
          <w:tab w:val="left" w:pos="1134"/>
        </w:tabs>
        <w:contextualSpacing w:val="0"/>
        <w:jc w:val="both"/>
        <w:rPr>
          <w:color w:val="000000"/>
        </w:rPr>
      </w:pPr>
      <w:r w:rsidRPr="0029408A">
        <w:rPr>
          <w:color w:val="000000"/>
        </w:rPr>
        <w:t xml:space="preserve">a description of the process applied to transfer the issuer and issue credit assessments to items not included in the trading </w:t>
      </w:r>
      <w:proofErr w:type="gramStart"/>
      <w:r w:rsidRPr="0029408A">
        <w:rPr>
          <w:color w:val="000000"/>
        </w:rPr>
        <w:t>book;</w:t>
      </w:r>
      <w:proofErr w:type="gramEnd"/>
    </w:p>
    <w:p w14:paraId="4AC633BE" w14:textId="77777777" w:rsidR="00F04069" w:rsidRPr="0029408A" w:rsidRDefault="00B57881" w:rsidP="00B57881">
      <w:pPr>
        <w:pStyle w:val="ListParagraph"/>
        <w:numPr>
          <w:ilvl w:val="0"/>
          <w:numId w:val="36"/>
        </w:numPr>
        <w:tabs>
          <w:tab w:val="left" w:pos="1134"/>
        </w:tabs>
        <w:contextualSpacing w:val="0"/>
        <w:jc w:val="both"/>
        <w:rPr>
          <w:color w:val="000000"/>
        </w:rPr>
      </w:pPr>
      <w:r w:rsidRPr="0029408A">
        <w:rPr>
          <w:color w:val="000000"/>
        </w:rPr>
        <w:t xml:space="preserve">the correspondence of the external rating of each designated ECAI or of the designated export crediting agencies, with the credit quality levels provided in Regulation no. </w:t>
      </w:r>
      <w:proofErr w:type="gramStart"/>
      <w:r w:rsidRPr="0029408A">
        <w:rPr>
          <w:color w:val="000000"/>
        </w:rPr>
        <w:t>111/2018;</w:t>
      </w:r>
      <w:proofErr w:type="gramEnd"/>
      <w:r w:rsidR="00F04069" w:rsidRPr="0029408A">
        <w:rPr>
          <w:color w:val="000000"/>
        </w:rPr>
        <w:t xml:space="preserve"> </w:t>
      </w:r>
    </w:p>
    <w:p w14:paraId="30BBE421" w14:textId="77777777" w:rsidR="00F04069" w:rsidRPr="0029408A" w:rsidRDefault="00F70C31" w:rsidP="00F70C31">
      <w:pPr>
        <w:pStyle w:val="ListParagraph"/>
        <w:numPr>
          <w:ilvl w:val="0"/>
          <w:numId w:val="36"/>
        </w:numPr>
        <w:tabs>
          <w:tab w:val="left" w:pos="1134"/>
        </w:tabs>
        <w:contextualSpacing w:val="0"/>
        <w:jc w:val="both"/>
        <w:rPr>
          <w:color w:val="000000"/>
        </w:rPr>
      </w:pPr>
      <w:r w:rsidRPr="0029408A">
        <w:rPr>
          <w:color w:val="000000"/>
        </w:rPr>
        <w:t>the exposure values and the exposure values resulting from the application of credit risk mitigation techniques, associated with each credit quality level separately, provided in Regulation no. 111/2018, as well as those deducted from own funds.</w:t>
      </w:r>
      <w:r w:rsidR="00F04069" w:rsidRPr="0029408A">
        <w:rPr>
          <w:color w:val="000000"/>
        </w:rPr>
        <w:t xml:space="preserve"> </w:t>
      </w:r>
    </w:p>
    <w:p w14:paraId="332B933E" w14:textId="77777777" w:rsidR="00DA4FF1" w:rsidRPr="0029408A" w:rsidRDefault="000A5797" w:rsidP="00BA14E2">
      <w:pPr>
        <w:pStyle w:val="tt"/>
        <w:numPr>
          <w:ilvl w:val="0"/>
          <w:numId w:val="12"/>
        </w:numPr>
        <w:tabs>
          <w:tab w:val="left" w:pos="567"/>
          <w:tab w:val="left" w:pos="1134"/>
        </w:tabs>
        <w:spacing w:before="0" w:beforeAutospacing="0" w:after="0" w:afterAutospacing="0"/>
        <w:ind w:left="0" w:firstLine="0"/>
        <w:jc w:val="both"/>
        <w:rPr>
          <w:b/>
          <w:color w:val="000000"/>
          <w:lang w:val="en-GB"/>
        </w:rPr>
      </w:pPr>
      <w:bookmarkStart w:id="5" w:name="_Ref8830771"/>
      <w:r w:rsidRPr="0029408A">
        <w:rPr>
          <w:color w:val="000000"/>
          <w:lang w:val="en-GB"/>
        </w:rPr>
        <w:t>Banks using risk mitigation techniques will publish the following information:</w:t>
      </w:r>
      <w:r w:rsidR="00DA4FF1" w:rsidRPr="0029408A">
        <w:rPr>
          <w:i/>
          <w:color w:val="000000"/>
          <w:lang w:val="en-GB"/>
        </w:rPr>
        <w:t xml:space="preserve"> </w:t>
      </w:r>
    </w:p>
    <w:p w14:paraId="29BC6F6A" w14:textId="77777777" w:rsidR="00DA4FF1" w:rsidRPr="0029408A" w:rsidRDefault="00A92112" w:rsidP="00A92112">
      <w:pPr>
        <w:pStyle w:val="ListParagraph"/>
        <w:numPr>
          <w:ilvl w:val="0"/>
          <w:numId w:val="43"/>
        </w:numPr>
        <w:tabs>
          <w:tab w:val="left" w:pos="1134"/>
        </w:tabs>
        <w:contextualSpacing w:val="0"/>
        <w:jc w:val="both"/>
        <w:rPr>
          <w:color w:val="000000"/>
        </w:rPr>
      </w:pPr>
      <w:r w:rsidRPr="0029408A">
        <w:rPr>
          <w:color w:val="000000"/>
        </w:rPr>
        <w:t xml:space="preserve">the policies and processes related to balance sheet and off-balance sheet netting, as well as the indication of the extent to which the bank uses these </w:t>
      </w:r>
      <w:proofErr w:type="gramStart"/>
      <w:r w:rsidRPr="0029408A">
        <w:rPr>
          <w:color w:val="000000"/>
        </w:rPr>
        <w:t>nettings;</w:t>
      </w:r>
      <w:proofErr w:type="gramEnd"/>
      <w:r w:rsidR="00DA4FF1" w:rsidRPr="0029408A">
        <w:rPr>
          <w:color w:val="000000"/>
        </w:rPr>
        <w:t xml:space="preserve"> </w:t>
      </w:r>
    </w:p>
    <w:p w14:paraId="3D0B10B2" w14:textId="77777777" w:rsidR="00DA4FF1" w:rsidRPr="0029408A" w:rsidRDefault="00DB015A" w:rsidP="00DB015A">
      <w:pPr>
        <w:pStyle w:val="ListParagraph"/>
        <w:numPr>
          <w:ilvl w:val="0"/>
          <w:numId w:val="43"/>
        </w:numPr>
        <w:tabs>
          <w:tab w:val="left" w:pos="1134"/>
        </w:tabs>
        <w:contextualSpacing w:val="0"/>
        <w:jc w:val="both"/>
        <w:rPr>
          <w:color w:val="000000"/>
        </w:rPr>
      </w:pPr>
      <w:r w:rsidRPr="0029408A">
        <w:rPr>
          <w:color w:val="000000"/>
        </w:rPr>
        <w:t xml:space="preserve">the policies and processes applied for the evaluation and administration of </w:t>
      </w:r>
      <w:proofErr w:type="gramStart"/>
      <w:r w:rsidRPr="0029408A">
        <w:rPr>
          <w:color w:val="000000"/>
        </w:rPr>
        <w:t>collateral;</w:t>
      </w:r>
      <w:proofErr w:type="gramEnd"/>
      <w:r w:rsidR="00DA4FF1" w:rsidRPr="0029408A">
        <w:rPr>
          <w:color w:val="000000"/>
        </w:rPr>
        <w:t xml:space="preserve"> </w:t>
      </w:r>
    </w:p>
    <w:p w14:paraId="6C8C58AC" w14:textId="77777777" w:rsidR="00DA4FF1" w:rsidRPr="0029408A" w:rsidRDefault="00DB015A" w:rsidP="00DB015A">
      <w:pPr>
        <w:pStyle w:val="ListParagraph"/>
        <w:numPr>
          <w:ilvl w:val="0"/>
          <w:numId w:val="43"/>
        </w:numPr>
        <w:tabs>
          <w:tab w:val="left" w:pos="1134"/>
        </w:tabs>
        <w:contextualSpacing w:val="0"/>
        <w:jc w:val="both"/>
        <w:rPr>
          <w:color w:val="000000"/>
        </w:rPr>
      </w:pPr>
      <w:r w:rsidRPr="0029408A">
        <w:rPr>
          <w:color w:val="000000"/>
        </w:rPr>
        <w:t xml:space="preserve">a description of the main types of collateral accepted by the </w:t>
      </w:r>
      <w:proofErr w:type="gramStart"/>
      <w:r w:rsidRPr="0029408A">
        <w:rPr>
          <w:color w:val="000000"/>
        </w:rPr>
        <w:t>bank;</w:t>
      </w:r>
      <w:proofErr w:type="gramEnd"/>
      <w:r w:rsidR="00DA4FF1" w:rsidRPr="0029408A">
        <w:rPr>
          <w:color w:val="000000"/>
        </w:rPr>
        <w:t xml:space="preserve"> </w:t>
      </w:r>
    </w:p>
    <w:p w14:paraId="5F32C0C8" w14:textId="77777777" w:rsidR="00DA4FF1" w:rsidRPr="0029408A" w:rsidRDefault="002F0DEB" w:rsidP="002F0DEB">
      <w:pPr>
        <w:pStyle w:val="ListParagraph"/>
        <w:numPr>
          <w:ilvl w:val="0"/>
          <w:numId w:val="43"/>
        </w:numPr>
        <w:tabs>
          <w:tab w:val="left" w:pos="1134"/>
        </w:tabs>
        <w:contextualSpacing w:val="0"/>
        <w:jc w:val="both"/>
        <w:rPr>
          <w:color w:val="000000"/>
        </w:rPr>
      </w:pPr>
      <w:r w:rsidRPr="0029408A">
        <w:rPr>
          <w:color w:val="000000"/>
        </w:rPr>
        <w:lastRenderedPageBreak/>
        <w:t xml:space="preserve">the main types of </w:t>
      </w:r>
      <w:proofErr w:type="spellStart"/>
      <w:r w:rsidRPr="0029408A">
        <w:rPr>
          <w:color w:val="000000"/>
        </w:rPr>
        <w:t>сollateral</w:t>
      </w:r>
      <w:proofErr w:type="spellEnd"/>
      <w:r w:rsidRPr="0029408A">
        <w:rPr>
          <w:color w:val="000000"/>
        </w:rPr>
        <w:t xml:space="preserve"> and counterparties in transactions with credit derivative financial instruments, as well as their </w:t>
      </w:r>
      <w:proofErr w:type="gramStart"/>
      <w:r w:rsidRPr="0029408A">
        <w:rPr>
          <w:color w:val="000000"/>
        </w:rPr>
        <w:t>creditworthiness;</w:t>
      </w:r>
      <w:proofErr w:type="gramEnd"/>
      <w:r w:rsidR="00DA4FF1" w:rsidRPr="0029408A">
        <w:rPr>
          <w:color w:val="000000"/>
        </w:rPr>
        <w:t xml:space="preserve"> </w:t>
      </w:r>
    </w:p>
    <w:p w14:paraId="391AB410" w14:textId="77777777" w:rsidR="00DA4FF1" w:rsidRPr="0029408A" w:rsidRDefault="002F0DEB" w:rsidP="002F0DEB">
      <w:pPr>
        <w:pStyle w:val="ListParagraph"/>
        <w:numPr>
          <w:ilvl w:val="0"/>
          <w:numId w:val="43"/>
        </w:numPr>
        <w:tabs>
          <w:tab w:val="left" w:pos="1134"/>
        </w:tabs>
        <w:contextualSpacing w:val="0"/>
        <w:jc w:val="both"/>
        <w:rPr>
          <w:color w:val="000000"/>
        </w:rPr>
      </w:pPr>
      <w:r w:rsidRPr="0029408A">
        <w:rPr>
          <w:color w:val="000000"/>
        </w:rPr>
        <w:t xml:space="preserve">information on market risk or credit risk concentrations in risk mitigation </w:t>
      </w:r>
      <w:proofErr w:type="gramStart"/>
      <w:r w:rsidRPr="0029408A">
        <w:rPr>
          <w:color w:val="000000"/>
        </w:rPr>
        <w:t>operations;</w:t>
      </w:r>
      <w:proofErr w:type="gramEnd"/>
      <w:r w:rsidR="00DA4FF1" w:rsidRPr="0029408A">
        <w:rPr>
          <w:color w:val="000000"/>
        </w:rPr>
        <w:t xml:space="preserve"> </w:t>
      </w:r>
    </w:p>
    <w:p w14:paraId="507AA9DF" w14:textId="77777777" w:rsidR="00DA4FF1" w:rsidRPr="0029408A" w:rsidRDefault="002F0DEB" w:rsidP="002F0DEB">
      <w:pPr>
        <w:pStyle w:val="ListParagraph"/>
        <w:numPr>
          <w:ilvl w:val="0"/>
          <w:numId w:val="43"/>
        </w:numPr>
        <w:tabs>
          <w:tab w:val="left" w:pos="1134"/>
        </w:tabs>
        <w:contextualSpacing w:val="0"/>
        <w:jc w:val="both"/>
        <w:rPr>
          <w:color w:val="000000"/>
        </w:rPr>
      </w:pPr>
      <w:r w:rsidRPr="0029408A">
        <w:rPr>
          <w:color w:val="000000"/>
        </w:rPr>
        <w:t xml:space="preserve">the total amount of the exposure (after balance sheet or off-balance sheet netting, if applicable) that is covered - after the application of volatility adjustments - by eligible financial collateral or other eligible </w:t>
      </w:r>
      <w:proofErr w:type="gramStart"/>
      <w:r w:rsidRPr="0029408A">
        <w:rPr>
          <w:color w:val="000000"/>
        </w:rPr>
        <w:t>collateral;</w:t>
      </w:r>
      <w:proofErr w:type="gramEnd"/>
      <w:r w:rsidR="00DA4FF1" w:rsidRPr="0029408A">
        <w:rPr>
          <w:color w:val="000000"/>
        </w:rPr>
        <w:t xml:space="preserve"> </w:t>
      </w:r>
    </w:p>
    <w:p w14:paraId="0CD3A49C" w14:textId="77777777" w:rsidR="00DA4FF1" w:rsidRPr="0029408A" w:rsidRDefault="00F47CFE" w:rsidP="00F47CFE">
      <w:pPr>
        <w:pStyle w:val="ListParagraph"/>
        <w:numPr>
          <w:ilvl w:val="0"/>
          <w:numId w:val="43"/>
        </w:numPr>
        <w:tabs>
          <w:tab w:val="left" w:pos="1134"/>
        </w:tabs>
        <w:contextualSpacing w:val="0"/>
        <w:jc w:val="both"/>
        <w:rPr>
          <w:color w:val="000000"/>
        </w:rPr>
      </w:pPr>
      <w:r w:rsidRPr="0029408A">
        <w:rPr>
          <w:color w:val="000000"/>
        </w:rPr>
        <w:t>the total exposure (after balance sheet or off-balance sheet netting, if applicable) that is covered by personal collateral or credit derivatives.</w:t>
      </w:r>
      <w:r w:rsidR="00DA4FF1" w:rsidRPr="0029408A">
        <w:rPr>
          <w:color w:val="000000"/>
        </w:rPr>
        <w:t xml:space="preserve"> </w:t>
      </w:r>
    </w:p>
    <w:p w14:paraId="2E5EAAEC" w14:textId="77777777" w:rsidR="00F04069" w:rsidRPr="0029408A" w:rsidRDefault="004076DC" w:rsidP="00BA14E2">
      <w:pPr>
        <w:pStyle w:val="tt"/>
        <w:numPr>
          <w:ilvl w:val="0"/>
          <w:numId w:val="12"/>
        </w:numPr>
        <w:tabs>
          <w:tab w:val="left" w:pos="567"/>
        </w:tabs>
        <w:spacing w:before="0" w:beforeAutospacing="0" w:after="0" w:afterAutospacing="0"/>
        <w:ind w:left="0" w:firstLine="0"/>
        <w:jc w:val="both"/>
        <w:rPr>
          <w:rFonts w:eastAsia="Arial Unicode MS"/>
          <w:b/>
          <w:bCs/>
          <w:color w:val="000000"/>
          <w:lang w:val="en-GB"/>
        </w:rPr>
      </w:pPr>
      <w:bookmarkStart w:id="6" w:name="_Ref18418284"/>
      <w:r w:rsidRPr="0029408A">
        <w:rPr>
          <w:rFonts w:eastAsia="Arial Unicode MS"/>
          <w:bCs/>
          <w:color w:val="000000"/>
          <w:lang w:val="en-GB"/>
        </w:rPr>
        <w:t xml:space="preserve">Banks should publish approaches to assessing </w:t>
      </w:r>
      <w:r w:rsidRPr="0029408A">
        <w:rPr>
          <w:rFonts w:eastAsia="Arial Unicode MS"/>
          <w:b/>
          <w:bCs/>
          <w:color w:val="000000"/>
          <w:lang w:val="en-GB"/>
        </w:rPr>
        <w:t>own funds requirements for operational risk</w:t>
      </w:r>
      <w:r w:rsidRPr="0029408A">
        <w:rPr>
          <w:rFonts w:eastAsia="Arial Unicode MS"/>
          <w:bCs/>
          <w:color w:val="000000"/>
          <w:lang w:val="en-GB"/>
        </w:rPr>
        <w:t xml:space="preserve"> in accordance with Regulation no. 113/2018, for which the bank meets the necessary conditions.</w:t>
      </w:r>
      <w:r w:rsidR="00F04069" w:rsidRPr="0029408A">
        <w:rPr>
          <w:rFonts w:eastAsia="Arial Unicode MS"/>
          <w:bCs/>
          <w:color w:val="000000"/>
          <w:lang w:val="en-GB"/>
        </w:rPr>
        <w:t xml:space="preserve"> </w:t>
      </w:r>
    </w:p>
    <w:bookmarkEnd w:id="5"/>
    <w:bookmarkEnd w:id="6"/>
    <w:p w14:paraId="00CFE6B2" w14:textId="77777777" w:rsidR="00B679D8" w:rsidRPr="0029408A" w:rsidRDefault="00A72BCE" w:rsidP="00BA14E2">
      <w:pPr>
        <w:pStyle w:val="tt"/>
        <w:numPr>
          <w:ilvl w:val="0"/>
          <w:numId w:val="12"/>
        </w:numPr>
        <w:tabs>
          <w:tab w:val="left" w:pos="567"/>
        </w:tabs>
        <w:spacing w:before="0" w:beforeAutospacing="0" w:after="0" w:afterAutospacing="0"/>
        <w:ind w:left="0" w:firstLine="0"/>
        <w:jc w:val="both"/>
        <w:rPr>
          <w:b/>
          <w:color w:val="000000"/>
          <w:lang w:val="en-GB"/>
        </w:rPr>
      </w:pPr>
      <w:r w:rsidRPr="0029408A">
        <w:rPr>
          <w:color w:val="000000"/>
          <w:lang w:val="en-GB"/>
        </w:rPr>
        <w:t xml:space="preserve">Banks shall publish the following information on </w:t>
      </w:r>
      <w:r w:rsidRPr="0029408A">
        <w:rPr>
          <w:b/>
          <w:color w:val="000000"/>
          <w:lang w:val="en-GB"/>
        </w:rPr>
        <w:t>compliance with the requirement regarding the countercyclical capital buffer</w:t>
      </w:r>
      <w:r w:rsidRPr="0029408A">
        <w:rPr>
          <w:color w:val="000000"/>
          <w:lang w:val="en-GB"/>
        </w:rPr>
        <w:t>, as mentioned in Art. 63 of Law no. 202/2017 and in the Regulation on capital buffers, approved by the Decision of the Executive Board of the National Bank of Moldova no. 110 of May 24, 2018 (hereinafter Regulation no. 110/2018), namely:</w:t>
      </w:r>
    </w:p>
    <w:p w14:paraId="42D1EEAA" w14:textId="77777777" w:rsidR="00B679D8" w:rsidRPr="0029408A" w:rsidRDefault="00A72BCE" w:rsidP="00A72BCE">
      <w:pPr>
        <w:pStyle w:val="ListParagraph"/>
        <w:numPr>
          <w:ilvl w:val="0"/>
          <w:numId w:val="32"/>
        </w:numPr>
        <w:tabs>
          <w:tab w:val="left" w:pos="1134"/>
        </w:tabs>
        <w:contextualSpacing w:val="0"/>
        <w:jc w:val="both"/>
        <w:rPr>
          <w:color w:val="000000"/>
        </w:rPr>
      </w:pPr>
      <w:r w:rsidRPr="0029408A">
        <w:rPr>
          <w:color w:val="000000"/>
        </w:rPr>
        <w:t xml:space="preserve">the geographical distribution of credit exposures relevant for the calculation of the countercyclical capital </w:t>
      </w:r>
      <w:proofErr w:type="gramStart"/>
      <w:r w:rsidRPr="0029408A">
        <w:rPr>
          <w:color w:val="000000"/>
        </w:rPr>
        <w:t>buffer;</w:t>
      </w:r>
      <w:proofErr w:type="gramEnd"/>
      <w:r w:rsidR="00B679D8" w:rsidRPr="0029408A">
        <w:rPr>
          <w:color w:val="000000"/>
        </w:rPr>
        <w:t xml:space="preserve"> </w:t>
      </w:r>
    </w:p>
    <w:p w14:paraId="0ABDCBD9" w14:textId="77777777" w:rsidR="00B679D8" w:rsidRPr="0029408A" w:rsidRDefault="00A72BCE" w:rsidP="00A72BCE">
      <w:pPr>
        <w:pStyle w:val="ListParagraph"/>
        <w:numPr>
          <w:ilvl w:val="0"/>
          <w:numId w:val="32"/>
        </w:numPr>
        <w:tabs>
          <w:tab w:val="left" w:pos="1134"/>
        </w:tabs>
        <w:contextualSpacing w:val="0"/>
        <w:jc w:val="both"/>
        <w:rPr>
          <w:color w:val="000000"/>
        </w:rPr>
      </w:pPr>
      <w:r w:rsidRPr="0029408A">
        <w:rPr>
          <w:color w:val="000000"/>
        </w:rPr>
        <w:t>the value of the specific countercyclical capital buffer</w:t>
      </w:r>
      <w:r w:rsidR="00B679D8" w:rsidRPr="0029408A">
        <w:rPr>
          <w:color w:val="000000"/>
        </w:rPr>
        <w:t xml:space="preserve">. </w:t>
      </w:r>
    </w:p>
    <w:p w14:paraId="2E420BD7" w14:textId="77777777" w:rsidR="00B679D8" w:rsidRPr="0029408A" w:rsidRDefault="00D820D0" w:rsidP="00BA14E2">
      <w:pPr>
        <w:pStyle w:val="tt"/>
        <w:numPr>
          <w:ilvl w:val="0"/>
          <w:numId w:val="12"/>
        </w:numPr>
        <w:tabs>
          <w:tab w:val="left" w:pos="567"/>
        </w:tabs>
        <w:spacing w:before="0" w:beforeAutospacing="0" w:after="0" w:afterAutospacing="0"/>
        <w:ind w:left="0" w:firstLine="0"/>
        <w:jc w:val="both"/>
        <w:rPr>
          <w:rFonts w:eastAsia="Arial Unicode MS"/>
          <w:b/>
          <w:bCs/>
          <w:color w:val="000000"/>
          <w:lang w:val="en-GB"/>
        </w:rPr>
      </w:pPr>
      <w:r w:rsidRPr="0029408A">
        <w:rPr>
          <w:rFonts w:eastAsia="Arial Unicode MS"/>
          <w:bCs/>
          <w:color w:val="000000"/>
          <w:lang w:val="en-GB"/>
        </w:rPr>
        <w:t xml:space="preserve">The information referred to in </w:t>
      </w:r>
      <w:r w:rsidR="007D3105" w:rsidRPr="0029408A">
        <w:rPr>
          <w:rFonts w:eastAsia="Arial Unicode MS"/>
          <w:bCs/>
          <w:color w:val="000000"/>
          <w:lang w:val="en-GB"/>
        </w:rPr>
        <w:t>point</w:t>
      </w:r>
      <w:r w:rsidRPr="0029408A">
        <w:rPr>
          <w:rFonts w:eastAsia="Arial Unicode MS"/>
          <w:bCs/>
          <w:color w:val="000000"/>
          <w:lang w:val="en-GB"/>
        </w:rPr>
        <w:t xml:space="preserve"> 65 shall be published at least annually in accordance with the requirements set out in Annex 12.</w:t>
      </w:r>
    </w:p>
    <w:p w14:paraId="36CCFFF0" w14:textId="77777777" w:rsidR="00B679D8" w:rsidRPr="0029408A" w:rsidRDefault="007D35B5" w:rsidP="00BA14E2">
      <w:pPr>
        <w:pStyle w:val="tt"/>
        <w:numPr>
          <w:ilvl w:val="0"/>
          <w:numId w:val="12"/>
        </w:numPr>
        <w:tabs>
          <w:tab w:val="left" w:pos="567"/>
        </w:tabs>
        <w:spacing w:before="0" w:beforeAutospacing="0" w:after="0" w:afterAutospacing="0"/>
        <w:ind w:left="0" w:firstLine="0"/>
        <w:jc w:val="both"/>
        <w:rPr>
          <w:b/>
          <w:color w:val="000000"/>
          <w:lang w:val="en-GB"/>
        </w:rPr>
      </w:pPr>
      <w:r w:rsidRPr="0029408A">
        <w:rPr>
          <w:rFonts w:eastAsia="Arial Unicode MS"/>
          <w:bCs/>
          <w:color w:val="000000"/>
          <w:lang w:val="en-GB"/>
        </w:rPr>
        <w:t>Banks shall</w:t>
      </w:r>
      <w:r w:rsidR="00205727" w:rsidRPr="0029408A">
        <w:rPr>
          <w:rFonts w:eastAsia="Arial Unicode MS"/>
          <w:bCs/>
          <w:color w:val="000000"/>
          <w:lang w:val="en-GB"/>
        </w:rPr>
        <w:t xml:space="preserve"> publish the following information on the </w:t>
      </w:r>
      <w:r w:rsidR="00205727" w:rsidRPr="0029408A">
        <w:rPr>
          <w:rFonts w:eastAsia="Arial Unicode MS"/>
          <w:b/>
          <w:bCs/>
          <w:color w:val="000000"/>
          <w:lang w:val="en-GB"/>
        </w:rPr>
        <w:t>bank's exposure to credit risk and the risk of impairment</w:t>
      </w:r>
      <w:r w:rsidR="00205727" w:rsidRPr="0029408A">
        <w:rPr>
          <w:rFonts w:eastAsia="Arial Unicode MS"/>
          <w:bCs/>
          <w:color w:val="000000"/>
          <w:lang w:val="en-GB"/>
        </w:rPr>
        <w:t xml:space="preserve"> </w:t>
      </w:r>
      <w:r w:rsidR="00205727" w:rsidRPr="0029408A">
        <w:rPr>
          <w:rFonts w:eastAsia="Arial Unicode MS"/>
          <w:bCs/>
          <w:i/>
          <w:color w:val="000000"/>
          <w:lang w:val="en-GB"/>
        </w:rPr>
        <w:t>(credit risk adjustments):</w:t>
      </w:r>
    </w:p>
    <w:p w14:paraId="718362F1" w14:textId="77777777" w:rsidR="00B679D8" w:rsidRPr="0029408A" w:rsidRDefault="00205727" w:rsidP="00205727">
      <w:pPr>
        <w:pStyle w:val="ListParagraph"/>
        <w:numPr>
          <w:ilvl w:val="0"/>
          <w:numId w:val="33"/>
        </w:numPr>
        <w:tabs>
          <w:tab w:val="left" w:pos="1134"/>
        </w:tabs>
        <w:contextualSpacing w:val="0"/>
        <w:jc w:val="both"/>
        <w:rPr>
          <w:color w:val="000000"/>
        </w:rPr>
      </w:pPr>
      <w:r w:rsidRPr="0029408A">
        <w:rPr>
          <w:color w:val="000000"/>
        </w:rPr>
        <w:t>the definition for accounting purposes of the terms "outstanding" and "depreciated</w:t>
      </w:r>
      <w:proofErr w:type="gramStart"/>
      <w:r w:rsidRPr="0029408A">
        <w:rPr>
          <w:color w:val="000000"/>
        </w:rPr>
        <w:t>";</w:t>
      </w:r>
      <w:proofErr w:type="gramEnd"/>
    </w:p>
    <w:p w14:paraId="58779FB3" w14:textId="77777777" w:rsidR="00B679D8" w:rsidRPr="0029408A" w:rsidRDefault="00205727" w:rsidP="00205727">
      <w:pPr>
        <w:pStyle w:val="ListParagraph"/>
        <w:numPr>
          <w:ilvl w:val="0"/>
          <w:numId w:val="33"/>
        </w:numPr>
        <w:tabs>
          <w:tab w:val="left" w:pos="1134"/>
        </w:tabs>
        <w:contextualSpacing w:val="0"/>
        <w:jc w:val="both"/>
        <w:rPr>
          <w:color w:val="000000"/>
        </w:rPr>
      </w:pPr>
      <w:r w:rsidRPr="0029408A">
        <w:rPr>
          <w:color w:val="000000"/>
        </w:rPr>
        <w:t xml:space="preserve">a description of the approaches and methods applied to determine specific and general credit risk </w:t>
      </w:r>
      <w:proofErr w:type="gramStart"/>
      <w:r w:rsidRPr="0029408A">
        <w:rPr>
          <w:color w:val="000000"/>
        </w:rPr>
        <w:t>adjustments;</w:t>
      </w:r>
      <w:proofErr w:type="gramEnd"/>
    </w:p>
    <w:p w14:paraId="00368274" w14:textId="77777777" w:rsidR="00B679D8" w:rsidRPr="0029408A" w:rsidRDefault="001A75A0" w:rsidP="004323EB">
      <w:pPr>
        <w:pStyle w:val="ListParagraph"/>
        <w:numPr>
          <w:ilvl w:val="0"/>
          <w:numId w:val="33"/>
        </w:numPr>
        <w:tabs>
          <w:tab w:val="left" w:pos="1134"/>
        </w:tabs>
        <w:contextualSpacing w:val="0"/>
        <w:jc w:val="both"/>
        <w:rPr>
          <w:color w:val="000000"/>
        </w:rPr>
      </w:pPr>
      <w:r w:rsidRPr="0029408A">
        <w:rPr>
          <w:color w:val="000000"/>
        </w:rPr>
        <w:t xml:space="preserve">the total amount of exposures after accounting netting and without </w:t>
      </w:r>
      <w:proofErr w:type="gramStart"/>
      <w:r w:rsidRPr="0029408A">
        <w:rPr>
          <w:color w:val="000000"/>
        </w:rPr>
        <w:t>taking into account</w:t>
      </w:r>
      <w:proofErr w:type="gramEnd"/>
      <w:r w:rsidRPr="0029408A">
        <w:rPr>
          <w:color w:val="000000"/>
        </w:rPr>
        <w:t xml:space="preserve"> the effects of credit risk mitigation techniques, as well as the average amount of exposures for the period, broken down by exposure classes, specified in </w:t>
      </w:r>
      <w:r w:rsidR="007D3105" w:rsidRPr="0029408A">
        <w:rPr>
          <w:color w:val="000000"/>
        </w:rPr>
        <w:t>point</w:t>
      </w:r>
      <w:r w:rsidRPr="0029408A">
        <w:rPr>
          <w:color w:val="000000"/>
        </w:rPr>
        <w:t xml:space="preserve"> 11 of Regulation no. 111/2018. The information shall be presented in the form of a table. Exposure classes, </w:t>
      </w:r>
      <w:r w:rsidR="004323EB" w:rsidRPr="0029408A">
        <w:rPr>
          <w:color w:val="000000"/>
        </w:rPr>
        <w:t>the business sector or counterparties</w:t>
      </w:r>
      <w:r w:rsidRPr="0029408A">
        <w:rPr>
          <w:color w:val="000000"/>
        </w:rPr>
        <w:t xml:space="preserve"> that are considered insignificant may be aggregated in a row or in </w:t>
      </w:r>
      <w:proofErr w:type="gramStart"/>
      <w:r w:rsidRPr="0029408A">
        <w:rPr>
          <w:color w:val="000000"/>
        </w:rPr>
        <w:t>an "other"</w:t>
      </w:r>
      <w:proofErr w:type="gramEnd"/>
      <w:r w:rsidRPr="0029408A">
        <w:rPr>
          <w:color w:val="000000"/>
        </w:rPr>
        <w:t xml:space="preserve"> </w:t>
      </w:r>
      <w:proofErr w:type="gramStart"/>
      <w:r w:rsidRPr="0029408A">
        <w:rPr>
          <w:color w:val="000000"/>
        </w:rPr>
        <w:t>column;</w:t>
      </w:r>
      <w:proofErr w:type="gramEnd"/>
    </w:p>
    <w:p w14:paraId="4637493F" w14:textId="77777777" w:rsidR="00B679D8" w:rsidRPr="0029408A" w:rsidRDefault="00E856A4" w:rsidP="00E856A4">
      <w:pPr>
        <w:pStyle w:val="ListParagraph"/>
        <w:numPr>
          <w:ilvl w:val="0"/>
          <w:numId w:val="33"/>
        </w:numPr>
        <w:tabs>
          <w:tab w:val="left" w:pos="1134"/>
        </w:tabs>
        <w:contextualSpacing w:val="0"/>
        <w:jc w:val="both"/>
        <w:rPr>
          <w:color w:val="000000"/>
        </w:rPr>
      </w:pPr>
      <w:r w:rsidRPr="0029408A">
        <w:rPr>
          <w:color w:val="000000"/>
        </w:rPr>
        <w:t xml:space="preserve">the geographical distribution of exposures broken down by significant areas, by main exposure classes and further detailed, if </w:t>
      </w:r>
      <w:proofErr w:type="gramStart"/>
      <w:r w:rsidRPr="0029408A">
        <w:rPr>
          <w:color w:val="000000"/>
        </w:rPr>
        <w:t>applicable;</w:t>
      </w:r>
      <w:proofErr w:type="gramEnd"/>
    </w:p>
    <w:p w14:paraId="5201DD10" w14:textId="77777777" w:rsidR="00B679D8" w:rsidRPr="0029408A" w:rsidRDefault="004323EB" w:rsidP="004323EB">
      <w:pPr>
        <w:pStyle w:val="ListParagraph"/>
        <w:numPr>
          <w:ilvl w:val="0"/>
          <w:numId w:val="33"/>
        </w:numPr>
        <w:tabs>
          <w:tab w:val="left" w:pos="1134"/>
        </w:tabs>
        <w:contextualSpacing w:val="0"/>
        <w:jc w:val="both"/>
        <w:rPr>
          <w:color w:val="000000"/>
        </w:rPr>
      </w:pPr>
      <w:r w:rsidRPr="0029408A">
        <w:rPr>
          <w:color w:val="000000"/>
        </w:rPr>
        <w:t xml:space="preserve">the distribution of exposures by business sectors or by types of counterparties, broken down by exposure classes, including specifying the exposure to small and medium-sized enterprises and further detailed, if </w:t>
      </w:r>
      <w:proofErr w:type="gramStart"/>
      <w:r w:rsidRPr="0029408A">
        <w:rPr>
          <w:color w:val="000000"/>
        </w:rPr>
        <w:t>applicable;</w:t>
      </w:r>
      <w:proofErr w:type="gramEnd"/>
    </w:p>
    <w:p w14:paraId="2C8A9B9C" w14:textId="77777777" w:rsidR="00B679D8" w:rsidRPr="0029408A" w:rsidRDefault="004323EB" w:rsidP="004323EB">
      <w:pPr>
        <w:pStyle w:val="ListParagraph"/>
        <w:numPr>
          <w:ilvl w:val="0"/>
          <w:numId w:val="33"/>
        </w:numPr>
        <w:tabs>
          <w:tab w:val="left" w:pos="1134"/>
        </w:tabs>
        <w:contextualSpacing w:val="0"/>
        <w:jc w:val="both"/>
        <w:rPr>
          <w:color w:val="000000"/>
        </w:rPr>
      </w:pPr>
      <w:r w:rsidRPr="0029408A">
        <w:rPr>
          <w:color w:val="000000"/>
        </w:rPr>
        <w:t xml:space="preserve">the distribution of all exposures, depending on the residual maturity, broken down by exposure classes and further detailed, if </w:t>
      </w:r>
      <w:proofErr w:type="gramStart"/>
      <w:r w:rsidRPr="0029408A">
        <w:rPr>
          <w:color w:val="000000"/>
        </w:rPr>
        <w:t>applicable;</w:t>
      </w:r>
      <w:proofErr w:type="gramEnd"/>
    </w:p>
    <w:p w14:paraId="5C807F9E" w14:textId="77777777" w:rsidR="00B679D8" w:rsidRPr="0029408A" w:rsidRDefault="004323EB" w:rsidP="004323EB">
      <w:pPr>
        <w:pStyle w:val="ListParagraph"/>
        <w:numPr>
          <w:ilvl w:val="0"/>
          <w:numId w:val="33"/>
        </w:numPr>
        <w:tabs>
          <w:tab w:val="left" w:pos="1134"/>
        </w:tabs>
        <w:contextualSpacing w:val="0"/>
        <w:jc w:val="both"/>
        <w:rPr>
          <w:color w:val="000000"/>
        </w:rPr>
      </w:pPr>
      <w:r w:rsidRPr="0029408A">
        <w:rPr>
          <w:color w:val="000000"/>
        </w:rPr>
        <w:t>for each significant business sector or type of counterparty, the amount:</w:t>
      </w:r>
    </w:p>
    <w:p w14:paraId="48ACC955" w14:textId="77777777" w:rsidR="00B679D8" w:rsidRPr="0029408A" w:rsidRDefault="00563372" w:rsidP="00563372">
      <w:pPr>
        <w:pStyle w:val="ListParagraph"/>
        <w:numPr>
          <w:ilvl w:val="0"/>
          <w:numId w:val="34"/>
        </w:numPr>
        <w:tabs>
          <w:tab w:val="left" w:pos="1134"/>
        </w:tabs>
        <w:contextualSpacing w:val="0"/>
        <w:jc w:val="both"/>
        <w:rPr>
          <w:color w:val="000000"/>
        </w:rPr>
      </w:pPr>
      <w:r w:rsidRPr="0029408A">
        <w:rPr>
          <w:color w:val="000000"/>
        </w:rPr>
        <w:t xml:space="preserve">impaired exposures and outstanding exposures, presented </w:t>
      </w:r>
      <w:proofErr w:type="gramStart"/>
      <w:r w:rsidRPr="0029408A">
        <w:rPr>
          <w:color w:val="000000"/>
        </w:rPr>
        <w:t>separately;</w:t>
      </w:r>
      <w:proofErr w:type="gramEnd"/>
    </w:p>
    <w:p w14:paraId="27B4A22A" w14:textId="77777777" w:rsidR="00B679D8" w:rsidRPr="0029408A" w:rsidRDefault="00563372" w:rsidP="00563372">
      <w:pPr>
        <w:pStyle w:val="ListParagraph"/>
        <w:numPr>
          <w:ilvl w:val="0"/>
          <w:numId w:val="34"/>
        </w:numPr>
        <w:tabs>
          <w:tab w:val="left" w:pos="1134"/>
        </w:tabs>
        <w:contextualSpacing w:val="0"/>
        <w:jc w:val="both"/>
        <w:rPr>
          <w:color w:val="000000"/>
        </w:rPr>
      </w:pPr>
      <w:r w:rsidRPr="0029408A">
        <w:rPr>
          <w:color w:val="000000"/>
        </w:rPr>
        <w:t xml:space="preserve">specific and general adjustments for credit </w:t>
      </w:r>
      <w:proofErr w:type="gramStart"/>
      <w:r w:rsidRPr="0029408A">
        <w:rPr>
          <w:color w:val="000000"/>
        </w:rPr>
        <w:t>risk;</w:t>
      </w:r>
      <w:proofErr w:type="gramEnd"/>
    </w:p>
    <w:p w14:paraId="57BDE864" w14:textId="77777777" w:rsidR="00B679D8" w:rsidRPr="0029408A" w:rsidRDefault="00563372" w:rsidP="00563372">
      <w:pPr>
        <w:pStyle w:val="ListParagraph"/>
        <w:numPr>
          <w:ilvl w:val="0"/>
          <w:numId w:val="34"/>
        </w:numPr>
        <w:tabs>
          <w:tab w:val="left" w:pos="1134"/>
        </w:tabs>
        <w:contextualSpacing w:val="0"/>
        <w:jc w:val="both"/>
        <w:rPr>
          <w:color w:val="000000"/>
        </w:rPr>
      </w:pPr>
      <w:r w:rsidRPr="0029408A">
        <w:rPr>
          <w:color w:val="000000"/>
        </w:rPr>
        <w:t xml:space="preserve">expenses with specific and general adjustments for credit risk during the reporting </w:t>
      </w:r>
      <w:proofErr w:type="gramStart"/>
      <w:r w:rsidRPr="0029408A">
        <w:rPr>
          <w:color w:val="000000"/>
        </w:rPr>
        <w:t>period;</w:t>
      </w:r>
      <w:proofErr w:type="gramEnd"/>
    </w:p>
    <w:p w14:paraId="2B893AF1" w14:textId="77777777" w:rsidR="00B679D8" w:rsidRPr="0029408A" w:rsidRDefault="00FD6CBF" w:rsidP="00FD6CBF">
      <w:pPr>
        <w:pStyle w:val="ListParagraph"/>
        <w:numPr>
          <w:ilvl w:val="0"/>
          <w:numId w:val="33"/>
        </w:numPr>
        <w:tabs>
          <w:tab w:val="left" w:pos="1134"/>
        </w:tabs>
        <w:contextualSpacing w:val="0"/>
        <w:jc w:val="both"/>
        <w:rPr>
          <w:color w:val="000000"/>
        </w:rPr>
      </w:pPr>
      <w:r w:rsidRPr="0029408A">
        <w:rPr>
          <w:color w:val="000000"/>
        </w:rPr>
        <w:t xml:space="preserve">the amount of impaired exposures and outstanding exposures, separated and broken down by significant geographical areas, including, where possible, the values of specific and general credit risk adjustments for each geographical </w:t>
      </w:r>
      <w:proofErr w:type="gramStart"/>
      <w:r w:rsidRPr="0029408A">
        <w:rPr>
          <w:color w:val="000000"/>
        </w:rPr>
        <w:t>area;</w:t>
      </w:r>
      <w:proofErr w:type="gramEnd"/>
    </w:p>
    <w:p w14:paraId="4AA6F7A2" w14:textId="77777777" w:rsidR="00B679D8" w:rsidRPr="0029408A" w:rsidRDefault="00FF3719" w:rsidP="00FF3719">
      <w:pPr>
        <w:pStyle w:val="ListParagraph"/>
        <w:numPr>
          <w:ilvl w:val="0"/>
          <w:numId w:val="33"/>
        </w:numPr>
        <w:tabs>
          <w:tab w:val="left" w:pos="1134"/>
        </w:tabs>
        <w:contextualSpacing w:val="0"/>
        <w:jc w:val="both"/>
        <w:rPr>
          <w:color w:val="000000"/>
        </w:rPr>
      </w:pPr>
      <w:r w:rsidRPr="0029408A">
        <w:rPr>
          <w:color w:val="000000"/>
        </w:rPr>
        <w:t>reconciliation of changes in specific and general credit risk adjustments for impaired exposures, presented separately. The information must include:</w:t>
      </w:r>
    </w:p>
    <w:p w14:paraId="0276D1A7" w14:textId="77777777" w:rsidR="00B679D8" w:rsidRPr="0029408A" w:rsidRDefault="00E13A0F" w:rsidP="00E13A0F">
      <w:pPr>
        <w:pStyle w:val="ListParagraph"/>
        <w:numPr>
          <w:ilvl w:val="0"/>
          <w:numId w:val="35"/>
        </w:numPr>
        <w:tabs>
          <w:tab w:val="left" w:pos="1134"/>
        </w:tabs>
        <w:contextualSpacing w:val="0"/>
        <w:jc w:val="both"/>
        <w:rPr>
          <w:color w:val="000000"/>
        </w:rPr>
      </w:pPr>
      <w:r w:rsidRPr="0029408A">
        <w:rPr>
          <w:color w:val="000000"/>
        </w:rPr>
        <w:t xml:space="preserve">a description of the types of specific and general credit risk </w:t>
      </w:r>
      <w:proofErr w:type="gramStart"/>
      <w:r w:rsidRPr="0029408A">
        <w:rPr>
          <w:color w:val="000000"/>
        </w:rPr>
        <w:t>adjustments;</w:t>
      </w:r>
      <w:proofErr w:type="gramEnd"/>
    </w:p>
    <w:p w14:paraId="2355B84E" w14:textId="77777777" w:rsidR="00B679D8" w:rsidRPr="0029408A" w:rsidRDefault="003A69C2" w:rsidP="003A69C2">
      <w:pPr>
        <w:pStyle w:val="ListParagraph"/>
        <w:numPr>
          <w:ilvl w:val="0"/>
          <w:numId w:val="35"/>
        </w:numPr>
        <w:tabs>
          <w:tab w:val="left" w:pos="1134"/>
        </w:tabs>
        <w:contextualSpacing w:val="0"/>
        <w:jc w:val="both"/>
        <w:rPr>
          <w:color w:val="000000"/>
        </w:rPr>
      </w:pPr>
      <w:r w:rsidRPr="0029408A">
        <w:rPr>
          <w:color w:val="000000"/>
        </w:rPr>
        <w:t xml:space="preserve">the opening </w:t>
      </w:r>
      <w:proofErr w:type="gramStart"/>
      <w:r w:rsidRPr="0029408A">
        <w:rPr>
          <w:color w:val="000000"/>
        </w:rPr>
        <w:t>balances;</w:t>
      </w:r>
      <w:proofErr w:type="gramEnd"/>
    </w:p>
    <w:p w14:paraId="2A8C4A80" w14:textId="77777777" w:rsidR="00B679D8" w:rsidRPr="0029408A" w:rsidRDefault="003A69C2" w:rsidP="003A69C2">
      <w:pPr>
        <w:pStyle w:val="ListParagraph"/>
        <w:numPr>
          <w:ilvl w:val="0"/>
          <w:numId w:val="35"/>
        </w:numPr>
        <w:tabs>
          <w:tab w:val="left" w:pos="1134"/>
        </w:tabs>
        <w:contextualSpacing w:val="0"/>
        <w:jc w:val="both"/>
        <w:rPr>
          <w:color w:val="000000"/>
        </w:rPr>
      </w:pPr>
      <w:r w:rsidRPr="0029408A">
        <w:rPr>
          <w:color w:val="000000"/>
        </w:rPr>
        <w:lastRenderedPageBreak/>
        <w:t xml:space="preserve">the amounts taken against the credit risk adjustments during the reporting </w:t>
      </w:r>
      <w:proofErr w:type="gramStart"/>
      <w:r w:rsidRPr="0029408A">
        <w:rPr>
          <w:color w:val="000000"/>
        </w:rPr>
        <w:t>period;</w:t>
      </w:r>
      <w:proofErr w:type="gramEnd"/>
    </w:p>
    <w:p w14:paraId="6312E9E3" w14:textId="77777777" w:rsidR="00B679D8" w:rsidRPr="0029408A" w:rsidRDefault="003A69C2" w:rsidP="003A69C2">
      <w:pPr>
        <w:pStyle w:val="ListParagraph"/>
        <w:numPr>
          <w:ilvl w:val="0"/>
          <w:numId w:val="35"/>
        </w:numPr>
        <w:tabs>
          <w:tab w:val="left" w:pos="1134"/>
        </w:tabs>
        <w:contextualSpacing w:val="0"/>
        <w:jc w:val="both"/>
        <w:rPr>
          <w:color w:val="000000"/>
        </w:rPr>
      </w:pPr>
      <w:r w:rsidRPr="0029408A">
        <w:rPr>
          <w:color w:val="000000"/>
        </w:rPr>
        <w:t xml:space="preserve">the amounts set aside or reversed for estimated probable losses on exposures during the reporting period, any other adjustments including those determined by exchange rate differences, business combinations, acquisitions and disposals of subsidiaries, and transfers between credit risk </w:t>
      </w:r>
      <w:proofErr w:type="gramStart"/>
      <w:r w:rsidRPr="0029408A">
        <w:rPr>
          <w:color w:val="000000"/>
        </w:rPr>
        <w:t>adjustments;</w:t>
      </w:r>
      <w:proofErr w:type="gramEnd"/>
    </w:p>
    <w:p w14:paraId="67A39E0D" w14:textId="77777777" w:rsidR="00B679D8" w:rsidRPr="0029408A" w:rsidRDefault="003A69C2" w:rsidP="00A72F7C">
      <w:pPr>
        <w:pStyle w:val="ListParagraph"/>
        <w:numPr>
          <w:ilvl w:val="0"/>
          <w:numId w:val="35"/>
        </w:numPr>
        <w:tabs>
          <w:tab w:val="left" w:pos="1134"/>
        </w:tabs>
        <w:contextualSpacing w:val="0"/>
        <w:jc w:val="both"/>
        <w:rPr>
          <w:color w:val="000000"/>
        </w:rPr>
      </w:pPr>
      <w:r w:rsidRPr="0029408A">
        <w:rPr>
          <w:color w:val="000000"/>
        </w:rPr>
        <w:t>the closing</w:t>
      </w:r>
      <w:r w:rsidR="00A72F7C" w:rsidRPr="0029408A">
        <w:rPr>
          <w:color w:val="000000"/>
        </w:rPr>
        <w:t xml:space="preserve"> balances</w:t>
      </w:r>
      <w:r w:rsidR="00B679D8" w:rsidRPr="0029408A">
        <w:rPr>
          <w:color w:val="000000"/>
        </w:rPr>
        <w:t xml:space="preserve">. </w:t>
      </w:r>
    </w:p>
    <w:p w14:paraId="0AF34AD8" w14:textId="77777777" w:rsidR="00B679D8" w:rsidRPr="0029408A" w:rsidRDefault="003A69C2" w:rsidP="00BA14E2">
      <w:pPr>
        <w:pStyle w:val="tt"/>
        <w:numPr>
          <w:ilvl w:val="0"/>
          <w:numId w:val="12"/>
        </w:numPr>
        <w:tabs>
          <w:tab w:val="left" w:pos="567"/>
        </w:tabs>
        <w:spacing w:before="0" w:beforeAutospacing="0" w:after="0" w:afterAutospacing="0"/>
        <w:ind w:left="0" w:firstLine="0"/>
        <w:jc w:val="both"/>
        <w:rPr>
          <w:rFonts w:eastAsia="Arial Unicode MS"/>
          <w:b/>
          <w:bCs/>
          <w:color w:val="000000"/>
          <w:lang w:val="en-GB"/>
        </w:rPr>
      </w:pPr>
      <w:r w:rsidRPr="0029408A">
        <w:rPr>
          <w:rFonts w:eastAsia="Arial Unicode MS"/>
          <w:bCs/>
          <w:color w:val="000000"/>
          <w:lang w:val="en-GB"/>
        </w:rPr>
        <w:t>Specific credit risk adjustments and recoveries recorded directly to the income statement shall be published separately from the information referred to in the preceding item.</w:t>
      </w:r>
      <w:r w:rsidR="00B679D8" w:rsidRPr="0029408A">
        <w:rPr>
          <w:rFonts w:eastAsia="Arial Unicode MS"/>
          <w:bCs/>
          <w:color w:val="000000"/>
          <w:lang w:val="en-GB"/>
        </w:rPr>
        <w:t xml:space="preserve"> </w:t>
      </w:r>
    </w:p>
    <w:p w14:paraId="328AE615" w14:textId="77777777" w:rsidR="00B679D8" w:rsidRPr="0029408A" w:rsidRDefault="00B30285" w:rsidP="00BA14E2">
      <w:pPr>
        <w:pStyle w:val="tt"/>
        <w:numPr>
          <w:ilvl w:val="0"/>
          <w:numId w:val="12"/>
        </w:numPr>
        <w:tabs>
          <w:tab w:val="left" w:pos="567"/>
        </w:tabs>
        <w:spacing w:before="0" w:beforeAutospacing="0" w:after="0" w:afterAutospacing="0"/>
        <w:ind w:left="0" w:firstLine="0"/>
        <w:jc w:val="both"/>
        <w:rPr>
          <w:b/>
          <w:color w:val="000000"/>
          <w:lang w:val="en-GB"/>
        </w:rPr>
      </w:pPr>
      <w:r w:rsidRPr="0029408A">
        <w:rPr>
          <w:rFonts w:eastAsia="Arial Unicode MS"/>
          <w:bCs/>
          <w:color w:val="000000"/>
          <w:lang w:val="en-GB"/>
        </w:rPr>
        <w:t>Banks shall publish</w:t>
      </w:r>
      <w:r w:rsidR="00677F0C" w:rsidRPr="0029408A">
        <w:rPr>
          <w:rFonts w:eastAsia="Arial Unicode MS"/>
          <w:bCs/>
          <w:color w:val="000000"/>
          <w:lang w:val="en-GB"/>
        </w:rPr>
        <w:t xml:space="preserve"> </w:t>
      </w:r>
      <w:r w:rsidRPr="0029408A">
        <w:rPr>
          <w:rFonts w:eastAsia="Arial Unicode MS"/>
          <w:bCs/>
          <w:color w:val="000000"/>
          <w:lang w:val="en-GB"/>
        </w:rPr>
        <w:t xml:space="preserve">the </w:t>
      </w:r>
      <w:r w:rsidRPr="0029408A">
        <w:rPr>
          <w:rFonts w:eastAsia="Arial Unicode MS"/>
          <w:b/>
          <w:bCs/>
          <w:color w:val="000000"/>
          <w:lang w:val="en-GB"/>
        </w:rPr>
        <w:t>following information regarding the exposures in equities not included in the trading book:</w:t>
      </w:r>
    </w:p>
    <w:p w14:paraId="15A99484" w14:textId="77777777" w:rsidR="00B679D8" w:rsidRPr="0029408A" w:rsidRDefault="00B30285" w:rsidP="004F4AF6">
      <w:pPr>
        <w:pStyle w:val="ListParagraph"/>
        <w:numPr>
          <w:ilvl w:val="0"/>
          <w:numId w:val="37"/>
        </w:numPr>
        <w:tabs>
          <w:tab w:val="left" w:pos="1134"/>
        </w:tabs>
        <w:ind w:left="0" w:firstLine="720"/>
        <w:contextualSpacing w:val="0"/>
        <w:jc w:val="both"/>
        <w:rPr>
          <w:color w:val="000000"/>
        </w:rPr>
      </w:pPr>
      <w:r w:rsidRPr="0029408A">
        <w:rPr>
          <w:color w:val="000000"/>
        </w:rPr>
        <w:t xml:space="preserve">the differentiation between exposures based on their objectives, including for capital gains relationship and strategic reasons, and an overview of the accounting techniques and valuation methodologies used, including key assumptions and practices affecting valuation and any significant changes in these </w:t>
      </w:r>
      <w:proofErr w:type="gramStart"/>
      <w:r w:rsidRPr="0029408A">
        <w:rPr>
          <w:color w:val="000000"/>
        </w:rPr>
        <w:t>practices;</w:t>
      </w:r>
      <w:proofErr w:type="gramEnd"/>
    </w:p>
    <w:p w14:paraId="25B33A1C" w14:textId="77777777" w:rsidR="00B679D8" w:rsidRPr="0029408A" w:rsidRDefault="00B30285" w:rsidP="004F4AF6">
      <w:pPr>
        <w:pStyle w:val="ListParagraph"/>
        <w:numPr>
          <w:ilvl w:val="0"/>
          <w:numId w:val="37"/>
        </w:numPr>
        <w:tabs>
          <w:tab w:val="left" w:pos="1134"/>
        </w:tabs>
        <w:ind w:left="0" w:firstLine="720"/>
        <w:contextualSpacing w:val="0"/>
        <w:jc w:val="both"/>
        <w:rPr>
          <w:color w:val="000000"/>
        </w:rPr>
      </w:pPr>
      <w:r w:rsidRPr="0029408A">
        <w:rPr>
          <w:color w:val="000000"/>
        </w:rPr>
        <w:t xml:space="preserve">the balance sheet value, the fair value and, for those exchange-traded, a comparison to the market price where it is materially different from the fair </w:t>
      </w:r>
      <w:proofErr w:type="gramStart"/>
      <w:r w:rsidRPr="0029408A">
        <w:rPr>
          <w:color w:val="000000"/>
        </w:rPr>
        <w:t>value;</w:t>
      </w:r>
      <w:proofErr w:type="gramEnd"/>
    </w:p>
    <w:p w14:paraId="67C919D0" w14:textId="77777777" w:rsidR="00B679D8" w:rsidRPr="0029408A" w:rsidRDefault="00B30285" w:rsidP="004F4AF6">
      <w:pPr>
        <w:pStyle w:val="ListParagraph"/>
        <w:numPr>
          <w:ilvl w:val="0"/>
          <w:numId w:val="37"/>
        </w:numPr>
        <w:tabs>
          <w:tab w:val="left" w:pos="1134"/>
        </w:tabs>
        <w:ind w:left="0" w:firstLine="720"/>
        <w:contextualSpacing w:val="0"/>
        <w:jc w:val="both"/>
        <w:rPr>
          <w:color w:val="000000"/>
        </w:rPr>
      </w:pPr>
      <w:r w:rsidRPr="0029408A">
        <w:rPr>
          <w:color w:val="000000"/>
        </w:rPr>
        <w:t xml:space="preserve">the types, nature and amounts of exchange-traded exposures, private equity exposures in sufficiently diversified portfolios, and other </w:t>
      </w:r>
      <w:proofErr w:type="gramStart"/>
      <w:r w:rsidRPr="0029408A">
        <w:rPr>
          <w:color w:val="000000"/>
        </w:rPr>
        <w:t>exposures;</w:t>
      </w:r>
      <w:proofErr w:type="gramEnd"/>
    </w:p>
    <w:p w14:paraId="28F03201" w14:textId="77777777" w:rsidR="00B679D8" w:rsidRPr="0029408A" w:rsidRDefault="00B30285" w:rsidP="004F4AF6">
      <w:pPr>
        <w:pStyle w:val="ListParagraph"/>
        <w:numPr>
          <w:ilvl w:val="0"/>
          <w:numId w:val="37"/>
        </w:numPr>
        <w:tabs>
          <w:tab w:val="left" w:pos="1134"/>
        </w:tabs>
        <w:ind w:left="0" w:firstLine="720"/>
        <w:contextualSpacing w:val="0"/>
        <w:jc w:val="both"/>
        <w:rPr>
          <w:color w:val="000000"/>
        </w:rPr>
      </w:pPr>
      <w:r w:rsidRPr="0029408A">
        <w:rPr>
          <w:color w:val="000000"/>
        </w:rPr>
        <w:t>the cumulative realised gains or losses arising from sales and liquidations in the period; and</w:t>
      </w:r>
    </w:p>
    <w:p w14:paraId="21BB2A5B" w14:textId="77777777" w:rsidR="00B679D8" w:rsidRPr="0029408A" w:rsidRDefault="00B30285" w:rsidP="004F4AF6">
      <w:pPr>
        <w:pStyle w:val="ListParagraph"/>
        <w:numPr>
          <w:ilvl w:val="0"/>
          <w:numId w:val="37"/>
        </w:numPr>
        <w:tabs>
          <w:tab w:val="left" w:pos="1134"/>
        </w:tabs>
        <w:ind w:left="0" w:firstLine="720"/>
        <w:contextualSpacing w:val="0"/>
        <w:jc w:val="both"/>
        <w:rPr>
          <w:color w:val="000000"/>
        </w:rPr>
      </w:pPr>
      <w:r w:rsidRPr="0029408A">
        <w:rPr>
          <w:color w:val="000000"/>
        </w:rPr>
        <w:t>the total unrealised gains or losses, the total latent revaluation gains or losses, and any of these amounts included in Common Equity Tier 1 capital.</w:t>
      </w:r>
    </w:p>
    <w:p w14:paraId="24549E4E" w14:textId="77777777" w:rsidR="00B679D8" w:rsidRPr="0029408A" w:rsidRDefault="00B30285" w:rsidP="00BA14E2">
      <w:pPr>
        <w:pStyle w:val="tt"/>
        <w:numPr>
          <w:ilvl w:val="0"/>
          <w:numId w:val="12"/>
        </w:numPr>
        <w:tabs>
          <w:tab w:val="left" w:pos="567"/>
          <w:tab w:val="left" w:pos="1134"/>
        </w:tabs>
        <w:spacing w:before="0" w:beforeAutospacing="0" w:after="0" w:afterAutospacing="0"/>
        <w:ind w:left="0" w:firstLine="0"/>
        <w:jc w:val="both"/>
        <w:rPr>
          <w:b/>
          <w:color w:val="000000"/>
          <w:lang w:val="en-GB"/>
        </w:rPr>
      </w:pPr>
      <w:r w:rsidRPr="0029408A">
        <w:rPr>
          <w:color w:val="000000"/>
          <w:lang w:val="en-GB"/>
        </w:rPr>
        <w:t>Banks shall publish the following information on their exposure to interest rate risk on positions not included in the trading book:</w:t>
      </w:r>
    </w:p>
    <w:p w14:paraId="5D49E77B" w14:textId="77777777" w:rsidR="00B679D8" w:rsidRPr="0029408A" w:rsidRDefault="00F01AEC" w:rsidP="004F4AF6">
      <w:pPr>
        <w:pStyle w:val="ListParagraph"/>
        <w:numPr>
          <w:ilvl w:val="2"/>
          <w:numId w:val="18"/>
        </w:numPr>
        <w:tabs>
          <w:tab w:val="left" w:pos="1134"/>
        </w:tabs>
        <w:ind w:left="0" w:firstLine="720"/>
        <w:contextualSpacing w:val="0"/>
        <w:jc w:val="both"/>
        <w:rPr>
          <w:color w:val="000000"/>
        </w:rPr>
      </w:pPr>
      <w:r w:rsidRPr="0029408A">
        <w:rPr>
          <w:color w:val="000000"/>
        </w:rPr>
        <w:t xml:space="preserve">the nature of the interest rate risk and the key assumptions (including assumptions regarding loan prepayments and behaviour of non-maturity deposits), and frequency of measurement of the interest rate </w:t>
      </w:r>
      <w:proofErr w:type="gramStart"/>
      <w:r w:rsidRPr="0029408A">
        <w:rPr>
          <w:color w:val="000000"/>
        </w:rPr>
        <w:t>risk;</w:t>
      </w:r>
      <w:proofErr w:type="gramEnd"/>
    </w:p>
    <w:p w14:paraId="77424F05" w14:textId="77777777" w:rsidR="00B679D8" w:rsidRDefault="00F01AEC" w:rsidP="004F4AF6">
      <w:pPr>
        <w:pStyle w:val="ListParagraph"/>
        <w:numPr>
          <w:ilvl w:val="2"/>
          <w:numId w:val="18"/>
        </w:numPr>
        <w:tabs>
          <w:tab w:val="left" w:pos="1134"/>
        </w:tabs>
        <w:ind w:left="0" w:firstLine="720"/>
        <w:contextualSpacing w:val="0"/>
        <w:jc w:val="both"/>
        <w:rPr>
          <w:color w:val="000000"/>
        </w:rPr>
      </w:pPr>
      <w:r w:rsidRPr="0029408A">
        <w:rPr>
          <w:color w:val="000000"/>
        </w:rPr>
        <w:t>the variation in earnings, economic value or other relevant measure used by the management for upward and downward rate shocks according to management's method for measuring the interest rate risk, broken down by currency.</w:t>
      </w:r>
      <w:r w:rsidR="00B679D8" w:rsidRPr="0029408A">
        <w:rPr>
          <w:color w:val="000000"/>
        </w:rPr>
        <w:t xml:space="preserve"> </w:t>
      </w:r>
    </w:p>
    <w:p w14:paraId="45DE5DE4" w14:textId="77777777" w:rsidR="00DA0484" w:rsidRPr="00DA0484" w:rsidRDefault="00DA0484" w:rsidP="00DA0484">
      <w:pPr>
        <w:spacing w:before="100" w:beforeAutospacing="1" w:after="100" w:afterAutospacing="1" w:line="240" w:lineRule="auto"/>
        <w:rPr>
          <w:rFonts w:ascii="Times New Roman" w:eastAsia="Times New Roman" w:hAnsi="Times New Roman"/>
          <w:color w:val="000000"/>
          <w:sz w:val="24"/>
          <w:szCs w:val="24"/>
          <w:lang w:val="en-GB"/>
        </w:rPr>
      </w:pPr>
      <w:r w:rsidRPr="00DF0177">
        <w:rPr>
          <w:rFonts w:ascii="Times New Roman" w:eastAsia="Times New Roman" w:hAnsi="Times New Roman"/>
          <w:b/>
          <w:bCs/>
          <w:color w:val="000000"/>
          <w:sz w:val="24"/>
          <w:szCs w:val="24"/>
          <w:lang w:val="en-GB"/>
        </w:rPr>
        <w:t>71.</w:t>
      </w:r>
      <w:r w:rsidRPr="00DF0177">
        <w:rPr>
          <w:rFonts w:ascii="Times New Roman" w:eastAsia="Times New Roman" w:hAnsi="Times New Roman"/>
          <w:color w:val="000000"/>
          <w:sz w:val="24"/>
          <w:szCs w:val="24"/>
          <w:lang w:val="en-GB"/>
        </w:rPr>
        <w:t xml:space="preserve"> </w:t>
      </w:r>
      <w:r w:rsidRPr="00DA0484">
        <w:rPr>
          <w:rFonts w:ascii="Times New Roman" w:eastAsia="Times New Roman" w:hAnsi="Times New Roman"/>
          <w:color w:val="000000"/>
          <w:sz w:val="24"/>
          <w:szCs w:val="24"/>
          <w:lang w:val="en-GB"/>
        </w:rPr>
        <w:t xml:space="preserve">  </w:t>
      </w:r>
      <w:r w:rsidRPr="00DF0177">
        <w:rPr>
          <w:rFonts w:ascii="Times New Roman" w:eastAsia="Times New Roman" w:hAnsi="Times New Roman"/>
          <w:color w:val="000000"/>
          <w:sz w:val="24"/>
          <w:szCs w:val="24"/>
          <w:lang w:val="en-GB"/>
        </w:rPr>
        <w:t xml:space="preserve">Banks shall </w:t>
      </w:r>
      <w:r w:rsidRPr="00DA0484">
        <w:rPr>
          <w:rFonts w:ascii="Times New Roman" w:eastAsia="Times New Roman" w:hAnsi="Times New Roman"/>
          <w:color w:val="000000"/>
          <w:sz w:val="24"/>
          <w:szCs w:val="24"/>
          <w:lang w:val="en-GB"/>
        </w:rPr>
        <w:t>publish</w:t>
      </w:r>
      <w:r w:rsidRPr="00DF0177">
        <w:rPr>
          <w:rFonts w:ascii="Times New Roman" w:eastAsia="Times New Roman" w:hAnsi="Times New Roman"/>
          <w:color w:val="000000"/>
          <w:sz w:val="24"/>
          <w:szCs w:val="24"/>
          <w:lang w:val="en-GB"/>
        </w:rPr>
        <w:t xml:space="preserve"> the following information on the leverage ratio calculated in accordance with the Regulation on leverage for banks, approved by Decision of the Executive Board of the National Bank of Moldova No 274/2020 (hereinafter Regulation No 274/2020):</w:t>
      </w:r>
    </w:p>
    <w:p w14:paraId="7EC4BD08" w14:textId="77777777" w:rsidR="00DA0484" w:rsidRPr="00DA0484" w:rsidRDefault="00DA0484" w:rsidP="00DA0484">
      <w:pPr>
        <w:spacing w:after="0" w:line="240" w:lineRule="auto"/>
        <w:rPr>
          <w:rFonts w:ascii="Times New Roman" w:eastAsia="Times New Roman" w:hAnsi="Times New Roman"/>
          <w:color w:val="000000"/>
          <w:sz w:val="24"/>
          <w:szCs w:val="24"/>
          <w:lang w:val="en-GB"/>
        </w:rPr>
      </w:pPr>
      <w:r w:rsidRPr="00DA0484">
        <w:rPr>
          <w:rFonts w:ascii="Times New Roman" w:eastAsia="Times New Roman" w:hAnsi="Times New Roman"/>
          <w:color w:val="000000"/>
          <w:sz w:val="24"/>
          <w:szCs w:val="24"/>
          <w:lang w:val="en-GB"/>
        </w:rPr>
        <w:t xml:space="preserve">            </w:t>
      </w:r>
      <w:r w:rsidRPr="00DF0177">
        <w:rPr>
          <w:rFonts w:ascii="Times New Roman" w:eastAsia="Times New Roman" w:hAnsi="Times New Roman"/>
          <w:color w:val="000000"/>
          <w:sz w:val="24"/>
          <w:szCs w:val="24"/>
          <w:lang w:val="en-GB"/>
        </w:rPr>
        <w:t xml:space="preserve">1) </w:t>
      </w:r>
      <w:r w:rsidR="00EC047A">
        <w:rPr>
          <w:rFonts w:ascii="Times New Roman" w:eastAsia="Times New Roman" w:hAnsi="Times New Roman"/>
          <w:color w:val="000000"/>
          <w:sz w:val="24"/>
          <w:szCs w:val="24"/>
          <w:lang w:val="en-GB"/>
        </w:rPr>
        <w:t xml:space="preserve">the </w:t>
      </w:r>
      <w:r w:rsidRPr="00DF0177">
        <w:rPr>
          <w:rFonts w:ascii="Times New Roman" w:eastAsia="Times New Roman" w:hAnsi="Times New Roman"/>
          <w:color w:val="000000"/>
          <w:sz w:val="24"/>
          <w:szCs w:val="24"/>
          <w:lang w:val="en-GB"/>
        </w:rPr>
        <w:t>leverage ratio</w:t>
      </w:r>
      <w:r w:rsidR="0095633E">
        <w:rPr>
          <w:rFonts w:ascii="Times New Roman" w:eastAsia="Times New Roman" w:hAnsi="Times New Roman"/>
          <w:color w:val="000000"/>
          <w:sz w:val="24"/>
          <w:szCs w:val="24"/>
          <w:lang w:val="en-GB"/>
        </w:rPr>
        <w:t xml:space="preserve"> </w:t>
      </w:r>
      <w:proofErr w:type="gramStart"/>
      <w:r w:rsidR="0095633E">
        <w:rPr>
          <w:rFonts w:ascii="Times New Roman" w:eastAsia="Times New Roman" w:hAnsi="Times New Roman"/>
          <w:color w:val="000000"/>
          <w:sz w:val="24"/>
          <w:szCs w:val="24"/>
          <w:lang w:val="en-GB"/>
        </w:rPr>
        <w:t>indicator</w:t>
      </w:r>
      <w:r w:rsidRPr="00DF0177">
        <w:rPr>
          <w:rFonts w:ascii="Times New Roman" w:eastAsia="Times New Roman" w:hAnsi="Times New Roman"/>
          <w:color w:val="000000"/>
          <w:sz w:val="24"/>
          <w:szCs w:val="24"/>
          <w:lang w:val="en-GB"/>
        </w:rPr>
        <w:t>;</w:t>
      </w:r>
      <w:proofErr w:type="gramEnd"/>
    </w:p>
    <w:p w14:paraId="5C94C780" w14:textId="77777777" w:rsidR="00DA0484" w:rsidRPr="00DA0484" w:rsidRDefault="00DA0484" w:rsidP="00DA0484">
      <w:pPr>
        <w:spacing w:after="0" w:line="240" w:lineRule="auto"/>
        <w:rPr>
          <w:rFonts w:ascii="Times New Roman" w:eastAsia="Times New Roman" w:hAnsi="Times New Roman"/>
          <w:color w:val="000000"/>
          <w:sz w:val="24"/>
          <w:szCs w:val="24"/>
          <w:lang w:val="en-GB"/>
        </w:rPr>
      </w:pPr>
      <w:r w:rsidRPr="00DA0484">
        <w:rPr>
          <w:rFonts w:ascii="Times New Roman" w:eastAsia="Times New Roman" w:hAnsi="Times New Roman"/>
          <w:color w:val="000000"/>
          <w:sz w:val="24"/>
          <w:szCs w:val="24"/>
          <w:lang w:val="en-GB"/>
        </w:rPr>
        <w:t xml:space="preserve">            </w:t>
      </w:r>
      <w:r w:rsidRPr="00DF0177">
        <w:rPr>
          <w:rFonts w:ascii="Times New Roman" w:eastAsia="Times New Roman" w:hAnsi="Times New Roman"/>
          <w:color w:val="000000"/>
          <w:sz w:val="24"/>
          <w:szCs w:val="24"/>
          <w:lang w:val="en-GB"/>
        </w:rPr>
        <w:t xml:space="preserve">2) </w:t>
      </w:r>
      <w:r w:rsidRPr="00DF0177">
        <w:rPr>
          <w:rFonts w:ascii="Times New Roman" w:eastAsia="Times New Roman" w:hAnsi="Times New Roman" w:hint="eastAsia"/>
          <w:color w:val="000000"/>
          <w:sz w:val="24"/>
          <w:szCs w:val="24"/>
          <w:lang w:val="en-GB"/>
        </w:rPr>
        <w:t xml:space="preserve">a breakdown of the total exposure measure, as well as a reconciliation of the total exposure measure with the relevant information disclosed in published financial </w:t>
      </w:r>
      <w:proofErr w:type="gramStart"/>
      <w:r w:rsidRPr="00DF0177">
        <w:rPr>
          <w:rFonts w:ascii="Times New Roman" w:eastAsia="Times New Roman" w:hAnsi="Times New Roman" w:hint="eastAsia"/>
          <w:color w:val="000000"/>
          <w:sz w:val="24"/>
          <w:szCs w:val="24"/>
          <w:lang w:val="en-GB"/>
        </w:rPr>
        <w:t>statements;</w:t>
      </w:r>
      <w:proofErr w:type="gramEnd"/>
    </w:p>
    <w:p w14:paraId="52B67368" w14:textId="77777777" w:rsidR="00DA0484" w:rsidRPr="00DF0177" w:rsidRDefault="00DA0484" w:rsidP="00DA0484">
      <w:pPr>
        <w:spacing w:after="0" w:line="240" w:lineRule="auto"/>
        <w:rPr>
          <w:rFonts w:ascii="Times New Roman" w:eastAsia="Times New Roman" w:hAnsi="Times New Roman"/>
          <w:color w:val="000000"/>
          <w:sz w:val="24"/>
          <w:szCs w:val="24"/>
          <w:lang w:val="en-GB"/>
        </w:rPr>
      </w:pPr>
      <w:r w:rsidRPr="00DA0484">
        <w:rPr>
          <w:rFonts w:ascii="Times New Roman" w:eastAsia="Times New Roman" w:hAnsi="Times New Roman"/>
          <w:color w:val="000000"/>
          <w:sz w:val="24"/>
          <w:szCs w:val="24"/>
          <w:lang w:val="en-GB"/>
        </w:rPr>
        <w:t xml:space="preserve">            </w:t>
      </w:r>
      <w:r w:rsidRPr="00DF0177">
        <w:rPr>
          <w:rFonts w:ascii="Times New Roman" w:eastAsia="Times New Roman" w:hAnsi="Times New Roman"/>
          <w:color w:val="000000"/>
          <w:sz w:val="24"/>
          <w:szCs w:val="24"/>
          <w:lang w:val="en-GB"/>
        </w:rPr>
        <w:t xml:space="preserve">3) where </w:t>
      </w:r>
      <w:r w:rsidRPr="00DA0484">
        <w:rPr>
          <w:rFonts w:ascii="Times New Roman" w:eastAsia="Times New Roman" w:hAnsi="Times New Roman"/>
          <w:color w:val="000000"/>
          <w:sz w:val="24"/>
          <w:szCs w:val="24"/>
          <w:lang w:val="en-GB"/>
        </w:rPr>
        <w:t>appropriate</w:t>
      </w:r>
      <w:r w:rsidRPr="00DF0177">
        <w:rPr>
          <w:rFonts w:ascii="Times New Roman" w:eastAsia="Times New Roman" w:hAnsi="Times New Roman"/>
          <w:color w:val="000000"/>
          <w:sz w:val="24"/>
          <w:szCs w:val="24"/>
          <w:lang w:val="en-GB"/>
        </w:rPr>
        <w:t xml:space="preserve">, the amount of unrecognized fiduciary items in accordance with </w:t>
      </w:r>
      <w:r w:rsidRPr="00DA0484">
        <w:rPr>
          <w:rFonts w:ascii="Times New Roman" w:eastAsia="Times New Roman" w:hAnsi="Times New Roman"/>
          <w:color w:val="000000"/>
          <w:sz w:val="24"/>
          <w:szCs w:val="24"/>
          <w:lang w:val="en-GB"/>
        </w:rPr>
        <w:t xml:space="preserve">point </w:t>
      </w:r>
      <w:r w:rsidRPr="00DF0177">
        <w:rPr>
          <w:rFonts w:ascii="Times New Roman" w:eastAsia="Times New Roman" w:hAnsi="Times New Roman"/>
          <w:color w:val="000000"/>
          <w:sz w:val="24"/>
          <w:szCs w:val="24"/>
          <w:lang w:val="en-GB"/>
        </w:rPr>
        <w:t xml:space="preserve">14 of Regulation </w:t>
      </w:r>
      <w:proofErr w:type="gramStart"/>
      <w:r w:rsidRPr="00DF0177">
        <w:rPr>
          <w:rFonts w:ascii="Times New Roman" w:eastAsia="Times New Roman" w:hAnsi="Times New Roman"/>
          <w:color w:val="000000"/>
          <w:sz w:val="24"/>
          <w:szCs w:val="24"/>
          <w:lang w:val="en-GB"/>
        </w:rPr>
        <w:t>274/2020;</w:t>
      </w:r>
      <w:proofErr w:type="gramEnd"/>
    </w:p>
    <w:p w14:paraId="3C764AED" w14:textId="77777777" w:rsidR="00DA0484" w:rsidRPr="00A345C6" w:rsidRDefault="00DA0484" w:rsidP="00A345C6">
      <w:pPr>
        <w:spacing w:after="0" w:line="240" w:lineRule="auto"/>
        <w:rPr>
          <w:rFonts w:ascii="Times New Roman" w:eastAsia="Times New Roman" w:hAnsi="Times New Roman"/>
          <w:color w:val="000000"/>
          <w:sz w:val="24"/>
          <w:szCs w:val="24"/>
          <w:lang w:val="en-GB"/>
        </w:rPr>
      </w:pPr>
      <w:r w:rsidRPr="00DA0484">
        <w:rPr>
          <w:rFonts w:ascii="Times New Roman" w:eastAsia="Times New Roman" w:hAnsi="Times New Roman"/>
          <w:color w:val="000000"/>
          <w:sz w:val="24"/>
          <w:szCs w:val="24"/>
          <w:lang w:val="en-GB"/>
        </w:rPr>
        <w:t xml:space="preserve">          </w:t>
      </w:r>
      <w:r w:rsidRPr="00DF0177">
        <w:rPr>
          <w:rFonts w:ascii="Times New Roman" w:eastAsia="Times New Roman" w:hAnsi="Times New Roman"/>
          <w:color w:val="000000"/>
          <w:sz w:val="24"/>
          <w:szCs w:val="24"/>
          <w:lang w:val="en-GB"/>
        </w:rPr>
        <w:t>4) a description of the processes used to manage the risk of excessive leverage.</w:t>
      </w:r>
    </w:p>
    <w:p w14:paraId="21254063" w14:textId="77777777" w:rsidR="00A345C6" w:rsidRPr="008349EF" w:rsidRDefault="0095633E" w:rsidP="0095633E">
      <w:pPr>
        <w:spacing w:after="0" w:line="240" w:lineRule="auto"/>
        <w:ind w:firstLine="567"/>
        <w:jc w:val="both"/>
        <w:rPr>
          <w:rFonts w:ascii="Times New Roman" w:hAnsi="Times New Roman"/>
          <w:b/>
          <w:bCs/>
          <w:i/>
          <w:iCs/>
          <w:color w:val="BF8F00"/>
          <w:sz w:val="20"/>
          <w:szCs w:val="20"/>
        </w:rPr>
      </w:pPr>
      <w:r w:rsidRPr="008349EF">
        <w:rPr>
          <w:rStyle w:val="Strong"/>
          <w:rFonts w:ascii="Times New Roman" w:hAnsi="Times New Roman"/>
          <w:b w:val="0"/>
          <w:bCs w:val="0"/>
          <w:i/>
          <w:iCs/>
          <w:color w:val="BF8F00"/>
          <w:sz w:val="20"/>
          <w:szCs w:val="20"/>
        </w:rPr>
        <w:t>[</w:t>
      </w:r>
      <w:proofErr w:type="spellStart"/>
      <w:r w:rsidRPr="008349EF">
        <w:rPr>
          <w:rStyle w:val="Strong"/>
          <w:rFonts w:ascii="Times New Roman" w:hAnsi="Times New Roman"/>
          <w:b w:val="0"/>
          <w:bCs w:val="0"/>
          <w:i/>
          <w:iCs/>
          <w:color w:val="BF8F00"/>
          <w:sz w:val="20"/>
          <w:szCs w:val="20"/>
        </w:rPr>
        <w:t>poin</w:t>
      </w:r>
      <w:proofErr w:type="spellEnd"/>
      <w:r w:rsidRPr="008349EF">
        <w:rPr>
          <w:rStyle w:val="Strong"/>
          <w:rFonts w:ascii="Times New Roman" w:hAnsi="Times New Roman"/>
          <w:b w:val="0"/>
          <w:bCs w:val="0"/>
          <w:i/>
          <w:iCs/>
          <w:color w:val="BF8F00"/>
          <w:sz w:val="20"/>
          <w:szCs w:val="20"/>
        </w:rPr>
        <w:t xml:space="preserve"> 71 amended by NBM Decision No. 275 of 29.12.2022, effective from 13.02.2023]</w:t>
      </w:r>
    </w:p>
    <w:p w14:paraId="2D23EB16" w14:textId="77777777" w:rsidR="0095633E" w:rsidRPr="008349EF" w:rsidRDefault="0095633E" w:rsidP="0095633E">
      <w:pPr>
        <w:spacing w:after="0" w:line="240" w:lineRule="auto"/>
        <w:ind w:firstLine="567"/>
        <w:jc w:val="both"/>
        <w:rPr>
          <w:rFonts w:ascii="Times New Roman" w:eastAsia="Times New Roman" w:hAnsi="Times New Roman"/>
          <w:b/>
          <w:bCs/>
          <w:i/>
          <w:iCs/>
          <w:color w:val="BF8F00"/>
          <w:sz w:val="20"/>
          <w:szCs w:val="20"/>
          <w:lang w:val="ro-MD" w:eastAsia="ro-MD"/>
        </w:rPr>
      </w:pPr>
      <w:r w:rsidRPr="008349EF">
        <w:rPr>
          <w:rStyle w:val="Strong"/>
          <w:rFonts w:ascii="Times New Roman" w:hAnsi="Times New Roman"/>
          <w:b w:val="0"/>
          <w:bCs w:val="0"/>
          <w:i/>
          <w:iCs/>
          <w:color w:val="BF8F00"/>
          <w:sz w:val="20"/>
          <w:szCs w:val="20"/>
        </w:rPr>
        <w:t>[point 71 introduced by NBM Decision No. 16 of 03.02.2022, effective from 25.03.2022]</w:t>
      </w:r>
      <w:r w:rsidRPr="008349EF">
        <w:rPr>
          <w:rFonts w:ascii="Times New Roman" w:eastAsia="Times New Roman" w:hAnsi="Times New Roman"/>
          <w:b/>
          <w:bCs/>
          <w:i/>
          <w:iCs/>
          <w:color w:val="BF8F00"/>
          <w:sz w:val="20"/>
          <w:szCs w:val="20"/>
          <w:lang w:val="ro-MD" w:eastAsia="ro-MD"/>
        </w:rPr>
        <w:t> </w:t>
      </w:r>
    </w:p>
    <w:p w14:paraId="55FE6BA7" w14:textId="77777777" w:rsidR="007F0709" w:rsidRPr="0095633E" w:rsidRDefault="0095633E" w:rsidP="0095633E">
      <w:pPr>
        <w:rPr>
          <w:rFonts w:ascii="Times New Roman" w:eastAsia="Times New Roman" w:hAnsi="Times New Roman"/>
          <w:b/>
          <w:color w:val="000000"/>
          <w:sz w:val="24"/>
          <w:szCs w:val="24"/>
        </w:rPr>
      </w:pPr>
      <w:r w:rsidRPr="0095633E">
        <w:rPr>
          <w:rFonts w:ascii="Arial" w:eastAsia="Times New Roman" w:hAnsi="Arial" w:cs="Arial"/>
          <w:sz w:val="24"/>
          <w:szCs w:val="24"/>
          <w:lang w:val="ro-MD" w:eastAsia="ro-MD"/>
        </w:rPr>
        <w:br/>
      </w:r>
      <w:r w:rsidR="007F0709" w:rsidRPr="0095633E">
        <w:rPr>
          <w:b/>
          <w:color w:val="000000"/>
        </w:rPr>
        <w:br w:type="page"/>
      </w:r>
    </w:p>
    <w:p w14:paraId="1C74DC82" w14:textId="77777777" w:rsidR="0095633E" w:rsidRPr="0095633E" w:rsidRDefault="0095633E" w:rsidP="0095633E">
      <w:pPr>
        <w:rPr>
          <w:rFonts w:ascii="Times New Roman" w:eastAsia="Times New Roman" w:hAnsi="Times New Roman"/>
          <w:b/>
          <w:color w:val="000000"/>
          <w:sz w:val="24"/>
          <w:szCs w:val="24"/>
        </w:rPr>
      </w:pPr>
    </w:p>
    <w:p w14:paraId="4A3C1DD9" w14:textId="77777777" w:rsidR="0095633E" w:rsidRPr="0072546F" w:rsidRDefault="0095633E" w:rsidP="0095633E">
      <w:pPr>
        <w:spacing w:after="0" w:line="240" w:lineRule="auto"/>
        <w:jc w:val="right"/>
        <w:rPr>
          <w:rFonts w:ascii="Times New Roman" w:eastAsia="Times New Roman" w:hAnsi="Times New Roman"/>
          <w:color w:val="000000"/>
          <w:sz w:val="24"/>
          <w:szCs w:val="24"/>
          <w:lang w:val="en-GB"/>
        </w:rPr>
      </w:pPr>
      <w:r w:rsidRPr="0072546F">
        <w:rPr>
          <w:rFonts w:ascii="Times New Roman" w:eastAsia="Times New Roman" w:hAnsi="Times New Roman"/>
          <w:color w:val="000000"/>
          <w:sz w:val="24"/>
          <w:szCs w:val="24"/>
          <w:lang w:val="en-GB"/>
        </w:rPr>
        <w:t xml:space="preserve">Annex No. 1 </w:t>
      </w:r>
    </w:p>
    <w:p w14:paraId="7F51F7A1" w14:textId="77777777" w:rsidR="0095633E" w:rsidRPr="0072546F" w:rsidRDefault="0095633E" w:rsidP="0095633E">
      <w:pPr>
        <w:spacing w:after="0" w:line="240" w:lineRule="auto"/>
        <w:jc w:val="right"/>
        <w:rPr>
          <w:rFonts w:ascii="Times New Roman" w:eastAsia="Times New Roman" w:hAnsi="Times New Roman"/>
          <w:color w:val="000000"/>
          <w:sz w:val="24"/>
          <w:szCs w:val="24"/>
          <w:lang w:val="en-GB"/>
        </w:rPr>
      </w:pPr>
      <w:r w:rsidRPr="0072546F">
        <w:rPr>
          <w:rFonts w:ascii="Times New Roman" w:eastAsia="Times New Roman" w:hAnsi="Times New Roman"/>
          <w:color w:val="000000"/>
          <w:sz w:val="24"/>
          <w:szCs w:val="24"/>
          <w:lang w:val="en-GB"/>
        </w:rPr>
        <w:t xml:space="preserve">to the </w:t>
      </w:r>
      <w:r w:rsidRPr="0072546F">
        <w:rPr>
          <w:rFonts w:ascii="Times New Roman" w:eastAsia="Times New Roman" w:hAnsi="Times New Roman"/>
          <w:bCs/>
          <w:color w:val="000000"/>
          <w:sz w:val="24"/>
          <w:szCs w:val="24"/>
          <w:lang w:val="en-GB"/>
        </w:rPr>
        <w:t>Regulation on the requirements for publication</w:t>
      </w:r>
    </w:p>
    <w:p w14:paraId="0695C79D" w14:textId="77777777" w:rsidR="0095633E" w:rsidRPr="0072546F" w:rsidRDefault="0095633E" w:rsidP="0095633E">
      <w:pPr>
        <w:spacing w:after="0" w:line="240" w:lineRule="auto"/>
        <w:jc w:val="right"/>
        <w:rPr>
          <w:rFonts w:ascii="Times New Roman" w:eastAsia="Times New Roman" w:hAnsi="Times New Roman"/>
          <w:color w:val="000000"/>
          <w:sz w:val="24"/>
          <w:szCs w:val="24"/>
          <w:lang w:val="en-GB"/>
        </w:rPr>
      </w:pPr>
      <w:r w:rsidRPr="0072546F">
        <w:rPr>
          <w:rFonts w:ascii="Times New Roman" w:eastAsia="Times New Roman" w:hAnsi="Times New Roman"/>
          <w:bCs/>
          <w:color w:val="000000"/>
          <w:sz w:val="24"/>
          <w:szCs w:val="24"/>
          <w:lang w:val="en-GB"/>
        </w:rPr>
        <w:t>of information by banks</w:t>
      </w:r>
      <w:r w:rsidRPr="0072546F">
        <w:rPr>
          <w:rFonts w:ascii="Times New Roman" w:eastAsia="Times New Roman" w:hAnsi="Times New Roman"/>
          <w:color w:val="000000"/>
          <w:sz w:val="24"/>
          <w:szCs w:val="24"/>
          <w:lang w:val="en-GB" w:eastAsia="ru-RU"/>
        </w:rPr>
        <w:t xml:space="preserve"> </w:t>
      </w:r>
    </w:p>
    <w:p w14:paraId="3B1789B5" w14:textId="77777777" w:rsidR="0095633E" w:rsidRPr="0072546F" w:rsidRDefault="0095633E" w:rsidP="0095633E">
      <w:pPr>
        <w:spacing w:after="0" w:line="240" w:lineRule="auto"/>
        <w:jc w:val="right"/>
        <w:rPr>
          <w:rFonts w:ascii="Times New Roman" w:eastAsia="Times New Roman" w:hAnsi="Times New Roman"/>
          <w:color w:val="000000"/>
          <w:sz w:val="24"/>
          <w:szCs w:val="24"/>
          <w:lang w:val="en-GB" w:eastAsia="ru-RU"/>
        </w:rPr>
      </w:pPr>
    </w:p>
    <w:p w14:paraId="110ABD06" w14:textId="77777777" w:rsidR="0095633E" w:rsidRPr="0072546F" w:rsidRDefault="0095633E" w:rsidP="0095633E">
      <w:pPr>
        <w:spacing w:after="0" w:line="240" w:lineRule="auto"/>
        <w:jc w:val="right"/>
        <w:rPr>
          <w:rFonts w:ascii="Times New Roman" w:eastAsia="Times New Roman" w:hAnsi="Times New Roman"/>
          <w:color w:val="000000"/>
          <w:sz w:val="24"/>
          <w:szCs w:val="24"/>
          <w:lang w:val="en-GB"/>
        </w:rPr>
      </w:pPr>
    </w:p>
    <w:p w14:paraId="6402419B" w14:textId="77777777" w:rsidR="0095633E" w:rsidRPr="0072546F" w:rsidRDefault="0095633E" w:rsidP="0095633E">
      <w:pPr>
        <w:spacing w:after="0" w:line="240" w:lineRule="auto"/>
        <w:jc w:val="center"/>
        <w:rPr>
          <w:rFonts w:ascii="Times New Roman" w:eastAsia="Times New Roman" w:hAnsi="Times New Roman"/>
          <w:b/>
          <w:bCs/>
          <w:color w:val="000000"/>
          <w:sz w:val="24"/>
          <w:szCs w:val="24"/>
          <w:lang w:val="en-GB"/>
        </w:rPr>
      </w:pPr>
      <w:r w:rsidRPr="0072546F">
        <w:rPr>
          <w:rFonts w:ascii="Times New Roman" w:eastAsia="Times New Roman" w:hAnsi="Times New Roman"/>
          <w:b/>
          <w:bCs/>
          <w:color w:val="000000"/>
          <w:sz w:val="24"/>
          <w:szCs w:val="24"/>
          <w:lang w:val="en-GB"/>
        </w:rPr>
        <w:t xml:space="preserve">Information </w:t>
      </w:r>
    </w:p>
    <w:p w14:paraId="459BBA83" w14:textId="77777777" w:rsidR="0095633E" w:rsidRPr="0072546F" w:rsidRDefault="0095633E" w:rsidP="0095633E">
      <w:pPr>
        <w:spacing w:after="0" w:line="240" w:lineRule="auto"/>
        <w:jc w:val="center"/>
        <w:rPr>
          <w:rFonts w:ascii="Times New Roman" w:eastAsia="Times New Roman" w:hAnsi="Times New Roman"/>
          <w:b/>
          <w:bCs/>
          <w:color w:val="000000"/>
          <w:sz w:val="24"/>
          <w:szCs w:val="24"/>
          <w:lang w:val="en-GB"/>
        </w:rPr>
      </w:pPr>
      <w:r w:rsidRPr="0072546F">
        <w:rPr>
          <w:rFonts w:ascii="Times New Roman" w:eastAsia="Times New Roman" w:hAnsi="Times New Roman"/>
          <w:b/>
          <w:bCs/>
          <w:color w:val="000000"/>
          <w:sz w:val="24"/>
          <w:szCs w:val="24"/>
          <w:lang w:val="en-GB"/>
        </w:rPr>
        <w:t xml:space="preserve">on the economic and financial activity </w:t>
      </w:r>
    </w:p>
    <w:p w14:paraId="024F2051" w14:textId="77777777" w:rsidR="0095633E" w:rsidRPr="0072546F" w:rsidRDefault="0095633E" w:rsidP="0095633E">
      <w:pPr>
        <w:spacing w:after="0" w:line="240" w:lineRule="auto"/>
        <w:jc w:val="center"/>
        <w:rPr>
          <w:rFonts w:ascii="Times New Roman" w:eastAsia="Times New Roman" w:hAnsi="Times New Roman"/>
          <w:color w:val="000000"/>
          <w:sz w:val="24"/>
          <w:szCs w:val="24"/>
          <w:lang w:val="en-GB"/>
        </w:rPr>
      </w:pPr>
      <w:r w:rsidRPr="0072546F">
        <w:rPr>
          <w:rFonts w:ascii="Times New Roman" w:eastAsia="Times New Roman" w:hAnsi="Times New Roman"/>
          <w:b/>
          <w:bCs/>
          <w:color w:val="000000"/>
          <w:sz w:val="24"/>
          <w:szCs w:val="24"/>
          <w:lang w:val="en-GB"/>
        </w:rPr>
        <w:t xml:space="preserve">of ___________________________________ </w:t>
      </w:r>
      <w:r w:rsidRPr="0072546F">
        <w:rPr>
          <w:rFonts w:ascii="Times New Roman" w:eastAsia="Times New Roman" w:hAnsi="Times New Roman"/>
          <w:color w:val="000000"/>
          <w:sz w:val="24"/>
          <w:szCs w:val="24"/>
          <w:lang w:val="en-GB"/>
        </w:rPr>
        <w:t>(the name of the bank)</w:t>
      </w:r>
    </w:p>
    <w:p w14:paraId="3097660B" w14:textId="77777777" w:rsidR="0095633E" w:rsidRPr="0072546F" w:rsidRDefault="0095633E" w:rsidP="0095633E">
      <w:pPr>
        <w:spacing w:after="0" w:line="240" w:lineRule="auto"/>
        <w:jc w:val="center"/>
        <w:rPr>
          <w:rFonts w:ascii="Times New Roman" w:eastAsia="Times New Roman" w:hAnsi="Times New Roman"/>
          <w:color w:val="000000"/>
          <w:sz w:val="24"/>
          <w:szCs w:val="24"/>
          <w:lang w:val="en-GB"/>
        </w:rPr>
      </w:pPr>
      <w:r w:rsidRPr="0072546F">
        <w:rPr>
          <w:rFonts w:ascii="Times New Roman" w:eastAsia="Times New Roman" w:hAnsi="Times New Roman"/>
          <w:b/>
          <w:bCs/>
          <w:color w:val="000000"/>
          <w:sz w:val="24"/>
          <w:szCs w:val="24"/>
          <w:lang w:val="en-GB"/>
        </w:rPr>
        <w:t>as of</w:t>
      </w:r>
      <w:r w:rsidRPr="0072546F">
        <w:rPr>
          <w:rFonts w:ascii="Times New Roman" w:eastAsia="Times New Roman" w:hAnsi="Times New Roman"/>
          <w:color w:val="000000"/>
          <w:sz w:val="24"/>
          <w:szCs w:val="24"/>
          <w:lang w:val="en-GB"/>
        </w:rPr>
        <w:t xml:space="preserve"> ________________ </w:t>
      </w:r>
      <w:r w:rsidRPr="0072546F">
        <w:rPr>
          <w:rFonts w:ascii="Times New Roman" w:eastAsia="Times New Roman" w:hAnsi="Times New Roman"/>
          <w:b/>
          <w:bCs/>
          <w:color w:val="000000"/>
          <w:sz w:val="24"/>
          <w:szCs w:val="24"/>
          <w:lang w:val="en-GB"/>
        </w:rPr>
        <w:t>20</w:t>
      </w:r>
      <w:r w:rsidRPr="0072546F">
        <w:rPr>
          <w:rFonts w:ascii="Times New Roman" w:eastAsia="Times New Roman" w:hAnsi="Times New Roman"/>
          <w:color w:val="000000"/>
          <w:sz w:val="24"/>
          <w:szCs w:val="24"/>
          <w:lang w:val="en-GB"/>
        </w:rPr>
        <w:t>_</w:t>
      </w:r>
    </w:p>
    <w:p w14:paraId="3B328AB1" w14:textId="77777777" w:rsidR="0095633E" w:rsidRPr="0072546F" w:rsidRDefault="0095633E" w:rsidP="0095633E">
      <w:pPr>
        <w:spacing w:after="0" w:line="240" w:lineRule="auto"/>
        <w:ind w:firstLine="567"/>
        <w:jc w:val="both"/>
        <w:rPr>
          <w:rFonts w:ascii="Times New Roman" w:eastAsia="Times New Roman" w:hAnsi="Times New Roman"/>
          <w:color w:val="000000"/>
          <w:sz w:val="24"/>
          <w:szCs w:val="24"/>
          <w:lang w:val="en-GB"/>
        </w:rPr>
      </w:pPr>
    </w:p>
    <w:tbl>
      <w:tblPr>
        <w:tblW w:w="5062" w:type="pct"/>
        <w:jc w:val="center"/>
        <w:tblCellMar>
          <w:top w:w="15" w:type="dxa"/>
          <w:left w:w="15" w:type="dxa"/>
          <w:bottom w:w="15" w:type="dxa"/>
          <w:right w:w="15" w:type="dxa"/>
        </w:tblCellMar>
        <w:tblLook w:val="04A0" w:firstRow="1" w:lastRow="0" w:firstColumn="1" w:lastColumn="0" w:noHBand="0" w:noVBand="1"/>
      </w:tblPr>
      <w:tblGrid>
        <w:gridCol w:w="670"/>
        <w:gridCol w:w="2685"/>
        <w:gridCol w:w="1416"/>
        <w:gridCol w:w="1183"/>
        <w:gridCol w:w="1471"/>
        <w:gridCol w:w="1375"/>
        <w:gridCol w:w="993"/>
      </w:tblGrid>
      <w:tr w:rsidR="0095633E" w:rsidRPr="0072546F" w14:paraId="492AEA9C" w14:textId="77777777" w:rsidTr="008349EF">
        <w:trPr>
          <w:trHeight w:val="276"/>
          <w:jc w:val="center"/>
        </w:trPr>
        <w:tc>
          <w:tcPr>
            <w:tcW w:w="342"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1CFF78DA" w14:textId="77777777" w:rsidR="0095633E" w:rsidRPr="0072546F" w:rsidRDefault="0095633E" w:rsidP="008349EF">
            <w:pPr>
              <w:spacing w:line="240" w:lineRule="auto"/>
              <w:jc w:val="center"/>
              <w:rPr>
                <w:rFonts w:ascii="Times New Roman" w:hAnsi="Times New Roman"/>
                <w:b/>
                <w:bCs/>
                <w:color w:val="000000"/>
                <w:lang w:val="en-GB"/>
              </w:rPr>
            </w:pPr>
            <w:r w:rsidRPr="0072546F">
              <w:rPr>
                <w:rFonts w:ascii="Times New Roman" w:hAnsi="Times New Roman"/>
                <w:b/>
                <w:bCs/>
                <w:color w:val="000000"/>
                <w:lang w:val="en-GB"/>
              </w:rPr>
              <w:t>No. d/o</w:t>
            </w:r>
          </w:p>
        </w:tc>
        <w:tc>
          <w:tcPr>
            <w:tcW w:w="1371"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0FCC00CA" w14:textId="77777777" w:rsidR="0095633E" w:rsidRPr="0072546F" w:rsidRDefault="0095633E" w:rsidP="008349EF">
            <w:pPr>
              <w:spacing w:line="240" w:lineRule="auto"/>
              <w:jc w:val="center"/>
              <w:rPr>
                <w:rFonts w:ascii="Times New Roman" w:hAnsi="Times New Roman"/>
                <w:b/>
                <w:bCs/>
                <w:color w:val="000000"/>
                <w:lang w:val="en-GB"/>
              </w:rPr>
            </w:pPr>
            <w:r w:rsidRPr="0072546F">
              <w:rPr>
                <w:rFonts w:ascii="Times New Roman" w:hAnsi="Times New Roman"/>
                <w:b/>
                <w:bCs/>
                <w:color w:val="000000"/>
                <w:lang w:val="en-GB"/>
              </w:rPr>
              <w:t>Name of indicators</w:t>
            </w:r>
          </w:p>
        </w:tc>
        <w:tc>
          <w:tcPr>
            <w:tcW w:w="723"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204704B3" w14:textId="77777777" w:rsidR="0095633E" w:rsidRPr="0072546F" w:rsidRDefault="0095633E" w:rsidP="008349EF">
            <w:pPr>
              <w:spacing w:line="240" w:lineRule="auto"/>
              <w:jc w:val="center"/>
              <w:rPr>
                <w:rFonts w:ascii="Times New Roman" w:hAnsi="Times New Roman"/>
                <w:b/>
                <w:bCs/>
                <w:color w:val="000000"/>
                <w:lang w:val="en-GB"/>
              </w:rPr>
            </w:pPr>
            <w:r w:rsidRPr="0072546F">
              <w:rPr>
                <w:rFonts w:ascii="Times New Roman" w:hAnsi="Times New Roman"/>
                <w:b/>
                <w:bCs/>
                <w:color w:val="000000"/>
                <w:lang w:val="en-GB"/>
              </w:rPr>
              <w:t>Unit of measurement</w:t>
            </w:r>
          </w:p>
        </w:tc>
        <w:tc>
          <w:tcPr>
            <w:tcW w:w="604" w:type="pct"/>
            <w:vMerge w:val="restart"/>
            <w:tcBorders>
              <w:top w:val="single" w:sz="6" w:space="0" w:color="000000"/>
              <w:left w:val="single" w:sz="6" w:space="0" w:color="000000"/>
              <w:right w:val="single" w:sz="6" w:space="0" w:color="000000"/>
            </w:tcBorders>
            <w:shd w:val="clear" w:color="auto" w:fill="F0F0F0"/>
          </w:tcPr>
          <w:p w14:paraId="5F8C0D29" w14:textId="77777777" w:rsidR="0095633E" w:rsidRPr="0072546F" w:rsidRDefault="0095633E" w:rsidP="008349EF">
            <w:pPr>
              <w:spacing w:line="240" w:lineRule="auto"/>
              <w:jc w:val="center"/>
              <w:rPr>
                <w:rFonts w:ascii="Times New Roman" w:hAnsi="Times New Roman"/>
                <w:b/>
                <w:bCs/>
                <w:color w:val="000000"/>
                <w:lang w:val="en-GB"/>
              </w:rPr>
            </w:pPr>
          </w:p>
          <w:p w14:paraId="1AE1B856" w14:textId="77777777" w:rsidR="0095633E" w:rsidRPr="0072546F" w:rsidRDefault="0095633E" w:rsidP="008349EF">
            <w:pPr>
              <w:spacing w:line="240" w:lineRule="auto"/>
              <w:jc w:val="center"/>
              <w:rPr>
                <w:rFonts w:ascii="Times New Roman" w:hAnsi="Times New Roman"/>
                <w:b/>
                <w:bCs/>
                <w:color w:val="000000"/>
                <w:lang w:val="en-GB"/>
              </w:rPr>
            </w:pPr>
            <w:r w:rsidRPr="0072546F">
              <w:rPr>
                <w:rFonts w:ascii="Times New Roman" w:hAnsi="Times New Roman"/>
                <w:b/>
                <w:bCs/>
                <w:color w:val="000000"/>
                <w:lang w:val="en-GB"/>
              </w:rPr>
              <w:t>Normative*</w:t>
            </w:r>
          </w:p>
        </w:tc>
        <w:tc>
          <w:tcPr>
            <w:tcW w:w="1961" w:type="pct"/>
            <w:gridSpan w:val="3"/>
            <w:tcBorders>
              <w:top w:val="single" w:sz="6" w:space="0" w:color="000000"/>
              <w:left w:val="single" w:sz="6" w:space="0" w:color="000000"/>
              <w:bottom w:val="single" w:sz="6" w:space="0" w:color="000000"/>
              <w:right w:val="single" w:sz="6" w:space="0" w:color="000000"/>
            </w:tcBorders>
            <w:shd w:val="clear" w:color="auto" w:fill="F0F0F0"/>
          </w:tcPr>
          <w:p w14:paraId="606977EF" w14:textId="77777777" w:rsidR="0095633E" w:rsidRPr="0072546F" w:rsidRDefault="0095633E" w:rsidP="008349EF">
            <w:pPr>
              <w:spacing w:line="240" w:lineRule="auto"/>
              <w:jc w:val="center"/>
              <w:rPr>
                <w:rFonts w:ascii="Times New Roman" w:hAnsi="Times New Roman"/>
                <w:b/>
                <w:bCs/>
                <w:color w:val="000000"/>
                <w:lang w:val="en-GB"/>
              </w:rPr>
            </w:pPr>
            <w:r w:rsidRPr="0072546F">
              <w:rPr>
                <w:rFonts w:ascii="Times New Roman" w:hAnsi="Times New Roman"/>
                <w:b/>
                <w:bCs/>
                <w:color w:val="000000"/>
                <w:lang w:val="en-GB"/>
              </w:rPr>
              <w:t>De facto</w:t>
            </w:r>
          </w:p>
        </w:tc>
      </w:tr>
      <w:tr w:rsidR="0095633E" w:rsidRPr="0072546F" w14:paraId="59D9E2FE" w14:textId="77777777" w:rsidTr="008349EF">
        <w:trPr>
          <w:trHeight w:val="1102"/>
          <w:jc w:val="center"/>
        </w:trPr>
        <w:tc>
          <w:tcPr>
            <w:tcW w:w="342" w:type="pct"/>
            <w:vMerge/>
            <w:tcBorders>
              <w:top w:val="single" w:sz="6" w:space="0" w:color="000000"/>
              <w:left w:val="single" w:sz="6" w:space="0" w:color="000000"/>
              <w:bottom w:val="single" w:sz="6" w:space="0" w:color="000000"/>
              <w:right w:val="single" w:sz="6" w:space="0" w:color="000000"/>
            </w:tcBorders>
            <w:vAlign w:val="center"/>
            <w:hideMark/>
          </w:tcPr>
          <w:p w14:paraId="0E7733E6" w14:textId="77777777" w:rsidR="0095633E" w:rsidRPr="0072546F" w:rsidRDefault="0095633E" w:rsidP="008349EF">
            <w:pPr>
              <w:spacing w:line="240" w:lineRule="auto"/>
              <w:rPr>
                <w:rFonts w:ascii="Times New Roman" w:hAnsi="Times New Roman"/>
                <w:b/>
                <w:bCs/>
                <w:color w:val="000000"/>
                <w:lang w:val="en-GB"/>
              </w:rPr>
            </w:pPr>
          </w:p>
        </w:tc>
        <w:tc>
          <w:tcPr>
            <w:tcW w:w="1371" w:type="pct"/>
            <w:vMerge/>
            <w:tcBorders>
              <w:top w:val="single" w:sz="6" w:space="0" w:color="000000"/>
              <w:left w:val="single" w:sz="6" w:space="0" w:color="000000"/>
              <w:bottom w:val="single" w:sz="6" w:space="0" w:color="000000"/>
              <w:right w:val="single" w:sz="6" w:space="0" w:color="000000"/>
            </w:tcBorders>
            <w:vAlign w:val="center"/>
            <w:hideMark/>
          </w:tcPr>
          <w:p w14:paraId="0E0EAE23" w14:textId="77777777" w:rsidR="0095633E" w:rsidRPr="0072546F" w:rsidRDefault="0095633E" w:rsidP="008349EF">
            <w:pPr>
              <w:spacing w:line="240" w:lineRule="auto"/>
              <w:rPr>
                <w:rFonts w:ascii="Times New Roman" w:hAnsi="Times New Roman"/>
                <w:b/>
                <w:bCs/>
                <w:color w:val="000000"/>
                <w:lang w:val="en-GB"/>
              </w:rPr>
            </w:pPr>
          </w:p>
        </w:tc>
        <w:tc>
          <w:tcPr>
            <w:tcW w:w="723" w:type="pct"/>
            <w:vMerge/>
            <w:tcBorders>
              <w:top w:val="single" w:sz="6" w:space="0" w:color="000000"/>
              <w:left w:val="single" w:sz="6" w:space="0" w:color="000000"/>
              <w:bottom w:val="single" w:sz="6" w:space="0" w:color="000000"/>
              <w:right w:val="single" w:sz="6" w:space="0" w:color="000000"/>
            </w:tcBorders>
            <w:vAlign w:val="center"/>
            <w:hideMark/>
          </w:tcPr>
          <w:p w14:paraId="643B354D" w14:textId="77777777" w:rsidR="0095633E" w:rsidRPr="0072546F" w:rsidRDefault="0095633E" w:rsidP="008349EF">
            <w:pPr>
              <w:spacing w:line="240" w:lineRule="auto"/>
              <w:rPr>
                <w:rFonts w:ascii="Times New Roman" w:hAnsi="Times New Roman"/>
                <w:b/>
                <w:bCs/>
                <w:color w:val="000000"/>
                <w:lang w:val="en-GB"/>
              </w:rPr>
            </w:pPr>
          </w:p>
        </w:tc>
        <w:tc>
          <w:tcPr>
            <w:tcW w:w="604" w:type="pct"/>
            <w:vMerge/>
            <w:tcBorders>
              <w:left w:val="single" w:sz="6" w:space="0" w:color="000000"/>
              <w:bottom w:val="single" w:sz="6" w:space="0" w:color="000000"/>
              <w:right w:val="single" w:sz="6" w:space="0" w:color="000000"/>
            </w:tcBorders>
          </w:tcPr>
          <w:p w14:paraId="4E78BAD7" w14:textId="77777777" w:rsidR="0095633E" w:rsidRPr="0072546F" w:rsidRDefault="0095633E" w:rsidP="008349EF">
            <w:pPr>
              <w:spacing w:line="240" w:lineRule="auto"/>
              <w:rPr>
                <w:rFonts w:ascii="Times New Roman" w:hAnsi="Times New Roman"/>
                <w:b/>
                <w:bCs/>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08A4AB37" w14:textId="77777777" w:rsidR="0095633E" w:rsidRPr="0072546F" w:rsidRDefault="0095633E" w:rsidP="008349EF">
            <w:pPr>
              <w:spacing w:line="240" w:lineRule="auto"/>
              <w:jc w:val="center"/>
              <w:rPr>
                <w:rFonts w:ascii="Times New Roman" w:hAnsi="Times New Roman"/>
                <w:b/>
                <w:bCs/>
                <w:color w:val="000000"/>
                <w:lang w:val="en-GB"/>
              </w:rPr>
            </w:pPr>
            <w:r w:rsidRPr="0072546F">
              <w:rPr>
                <w:rFonts w:ascii="Times New Roman" w:hAnsi="Times New Roman"/>
                <w:b/>
                <w:bCs/>
                <w:color w:val="000000"/>
                <w:lang w:val="en-GB"/>
              </w:rPr>
              <w:t>management month /management quarter</w:t>
            </w:r>
          </w:p>
        </w:tc>
        <w:tc>
          <w:tcPr>
            <w:tcW w:w="702" w:type="pct"/>
            <w:tcBorders>
              <w:top w:val="single" w:sz="6" w:space="0" w:color="000000"/>
              <w:left w:val="single" w:sz="6" w:space="0" w:color="000000"/>
              <w:bottom w:val="single" w:sz="6" w:space="0" w:color="000000"/>
              <w:right w:val="single" w:sz="6" w:space="0" w:color="000000"/>
            </w:tcBorders>
          </w:tcPr>
          <w:p w14:paraId="3049200B" w14:textId="77777777" w:rsidR="0095633E" w:rsidRPr="0072546F" w:rsidRDefault="0095633E" w:rsidP="008349EF">
            <w:pPr>
              <w:spacing w:line="240" w:lineRule="auto"/>
              <w:jc w:val="center"/>
              <w:rPr>
                <w:rFonts w:ascii="Times New Roman" w:hAnsi="Times New Roman"/>
                <w:b/>
                <w:bCs/>
                <w:color w:val="000000"/>
                <w:lang w:val="en-GB"/>
              </w:rPr>
            </w:pPr>
            <w:r w:rsidRPr="0072546F">
              <w:rPr>
                <w:rFonts w:ascii="Times New Roman" w:hAnsi="Times New Roman"/>
                <w:b/>
                <w:bCs/>
                <w:color w:val="000000"/>
                <w:lang w:val="en-GB"/>
              </w:rPr>
              <w:t>prior management month /prior management quarter</w:t>
            </w:r>
          </w:p>
        </w:tc>
        <w:tc>
          <w:tcPr>
            <w:tcW w:w="507" w:type="pct"/>
            <w:tcBorders>
              <w:top w:val="single" w:sz="6" w:space="0" w:color="000000"/>
              <w:left w:val="single" w:sz="6" w:space="0" w:color="000000"/>
              <w:bottom w:val="single" w:sz="6" w:space="0" w:color="000000"/>
              <w:right w:val="single" w:sz="6" w:space="0" w:color="000000"/>
            </w:tcBorders>
          </w:tcPr>
          <w:p w14:paraId="005F0F48" w14:textId="77777777" w:rsidR="0095633E" w:rsidRPr="0072546F" w:rsidRDefault="0095633E" w:rsidP="008349EF">
            <w:pPr>
              <w:spacing w:line="240" w:lineRule="auto"/>
              <w:jc w:val="center"/>
              <w:rPr>
                <w:rFonts w:ascii="Times New Roman" w:hAnsi="Times New Roman"/>
                <w:b/>
                <w:bCs/>
                <w:color w:val="000000"/>
                <w:lang w:val="en-GB"/>
              </w:rPr>
            </w:pPr>
            <w:r w:rsidRPr="0072546F">
              <w:rPr>
                <w:rFonts w:ascii="Times New Roman" w:hAnsi="Times New Roman"/>
                <w:b/>
                <w:bCs/>
                <w:color w:val="000000"/>
                <w:lang w:val="en-GB"/>
              </w:rPr>
              <w:t>the year preceding the reporting year</w:t>
            </w:r>
          </w:p>
        </w:tc>
      </w:tr>
      <w:tr w:rsidR="0095633E" w:rsidRPr="0072546F" w14:paraId="1A46D8F7" w14:textId="77777777" w:rsidTr="008349EF">
        <w:trPr>
          <w:trHeight w:val="167"/>
          <w:jc w:val="center"/>
        </w:trPr>
        <w:tc>
          <w:tcPr>
            <w:tcW w:w="342" w:type="pct"/>
            <w:tcBorders>
              <w:top w:val="single" w:sz="6" w:space="0" w:color="000000"/>
              <w:left w:val="single" w:sz="6" w:space="0" w:color="000000"/>
              <w:bottom w:val="single" w:sz="6" w:space="0" w:color="000000"/>
              <w:right w:val="single" w:sz="6" w:space="0" w:color="000000"/>
            </w:tcBorders>
            <w:shd w:val="clear" w:color="auto" w:fill="F2F2F2"/>
            <w:vAlign w:val="center"/>
          </w:tcPr>
          <w:p w14:paraId="16E62011" w14:textId="77777777" w:rsidR="0095633E" w:rsidRPr="0072546F" w:rsidRDefault="0095633E" w:rsidP="008349EF">
            <w:pPr>
              <w:spacing w:line="240" w:lineRule="auto"/>
              <w:jc w:val="center"/>
              <w:rPr>
                <w:rFonts w:ascii="Times New Roman" w:hAnsi="Times New Roman"/>
                <w:b/>
                <w:bCs/>
                <w:color w:val="000000"/>
                <w:lang w:val="en-GB"/>
              </w:rPr>
            </w:pPr>
            <w:r w:rsidRPr="0072546F">
              <w:rPr>
                <w:rFonts w:ascii="Times New Roman" w:hAnsi="Times New Roman"/>
                <w:b/>
                <w:bCs/>
                <w:color w:val="000000"/>
                <w:lang w:val="en-GB"/>
              </w:rPr>
              <w:t>A</w:t>
            </w:r>
          </w:p>
        </w:tc>
        <w:tc>
          <w:tcPr>
            <w:tcW w:w="1371" w:type="pct"/>
            <w:tcBorders>
              <w:top w:val="single" w:sz="6" w:space="0" w:color="000000"/>
              <w:left w:val="single" w:sz="6" w:space="0" w:color="000000"/>
              <w:bottom w:val="single" w:sz="6" w:space="0" w:color="000000"/>
              <w:right w:val="single" w:sz="6" w:space="0" w:color="000000"/>
            </w:tcBorders>
            <w:shd w:val="clear" w:color="auto" w:fill="F2F2F2"/>
            <w:vAlign w:val="center"/>
          </w:tcPr>
          <w:p w14:paraId="1568DC5C" w14:textId="77777777" w:rsidR="0095633E" w:rsidRPr="0072546F" w:rsidRDefault="0095633E" w:rsidP="008349EF">
            <w:pPr>
              <w:spacing w:line="240" w:lineRule="auto"/>
              <w:jc w:val="center"/>
              <w:rPr>
                <w:rFonts w:ascii="Times New Roman" w:hAnsi="Times New Roman"/>
                <w:b/>
                <w:bCs/>
                <w:color w:val="000000"/>
                <w:lang w:val="en-GB"/>
              </w:rPr>
            </w:pPr>
            <w:r w:rsidRPr="0072546F">
              <w:rPr>
                <w:rFonts w:ascii="Times New Roman" w:hAnsi="Times New Roman"/>
                <w:b/>
                <w:bCs/>
                <w:color w:val="000000"/>
                <w:lang w:val="en-GB"/>
              </w:rPr>
              <w:t>B</w:t>
            </w:r>
          </w:p>
        </w:tc>
        <w:tc>
          <w:tcPr>
            <w:tcW w:w="723" w:type="pct"/>
            <w:tcBorders>
              <w:top w:val="single" w:sz="6" w:space="0" w:color="000000"/>
              <w:left w:val="single" w:sz="6" w:space="0" w:color="000000"/>
              <w:bottom w:val="single" w:sz="6" w:space="0" w:color="000000"/>
              <w:right w:val="single" w:sz="6" w:space="0" w:color="000000"/>
            </w:tcBorders>
            <w:shd w:val="clear" w:color="auto" w:fill="F2F2F2"/>
            <w:vAlign w:val="center"/>
          </w:tcPr>
          <w:p w14:paraId="72DA6107" w14:textId="77777777" w:rsidR="0095633E" w:rsidRPr="0072546F" w:rsidRDefault="0095633E" w:rsidP="008349EF">
            <w:pPr>
              <w:spacing w:line="240" w:lineRule="auto"/>
              <w:jc w:val="center"/>
              <w:rPr>
                <w:rFonts w:ascii="Times New Roman" w:hAnsi="Times New Roman"/>
                <w:b/>
                <w:bCs/>
                <w:color w:val="000000"/>
                <w:lang w:val="en-GB"/>
              </w:rPr>
            </w:pPr>
            <w:r w:rsidRPr="0072546F">
              <w:rPr>
                <w:rFonts w:ascii="Times New Roman" w:hAnsi="Times New Roman"/>
                <w:b/>
                <w:bCs/>
                <w:color w:val="000000"/>
                <w:lang w:val="en-GB"/>
              </w:rPr>
              <w:t>C</w:t>
            </w:r>
          </w:p>
        </w:tc>
        <w:tc>
          <w:tcPr>
            <w:tcW w:w="604" w:type="pct"/>
            <w:tcBorders>
              <w:top w:val="single" w:sz="6" w:space="0" w:color="000000"/>
              <w:left w:val="single" w:sz="6" w:space="0" w:color="000000"/>
              <w:bottom w:val="single" w:sz="6" w:space="0" w:color="000000"/>
              <w:right w:val="single" w:sz="6" w:space="0" w:color="000000"/>
            </w:tcBorders>
            <w:shd w:val="clear" w:color="auto" w:fill="F2F2F2"/>
          </w:tcPr>
          <w:p w14:paraId="3EC93ECE" w14:textId="77777777" w:rsidR="0095633E" w:rsidRPr="0072546F" w:rsidRDefault="0095633E" w:rsidP="008349EF">
            <w:pPr>
              <w:spacing w:line="240" w:lineRule="auto"/>
              <w:jc w:val="center"/>
              <w:rPr>
                <w:rFonts w:ascii="Times New Roman" w:hAnsi="Times New Roman"/>
                <w:b/>
                <w:bCs/>
                <w:color w:val="000000"/>
                <w:lang w:val="en-GB"/>
              </w:rPr>
            </w:pPr>
            <w:r w:rsidRPr="0072546F">
              <w:rPr>
                <w:rFonts w:ascii="Times New Roman" w:hAnsi="Times New Roman"/>
                <w:b/>
                <w:bCs/>
                <w:color w:val="000000"/>
                <w:lang w:val="en-GB"/>
              </w:rPr>
              <w:t>D</w:t>
            </w:r>
          </w:p>
        </w:tc>
        <w:tc>
          <w:tcPr>
            <w:tcW w:w="751" w:type="pct"/>
            <w:tcBorders>
              <w:top w:val="single" w:sz="6" w:space="0" w:color="000000"/>
              <w:left w:val="single" w:sz="6" w:space="0" w:color="000000"/>
              <w:bottom w:val="single" w:sz="6" w:space="0" w:color="000000"/>
              <w:right w:val="single" w:sz="6" w:space="0" w:color="000000"/>
            </w:tcBorders>
            <w:shd w:val="clear" w:color="auto" w:fill="F2F2F2"/>
          </w:tcPr>
          <w:p w14:paraId="497B4904" w14:textId="77777777" w:rsidR="0095633E" w:rsidRPr="0072546F" w:rsidRDefault="0095633E" w:rsidP="008349EF">
            <w:pPr>
              <w:spacing w:line="240" w:lineRule="auto"/>
              <w:jc w:val="center"/>
              <w:rPr>
                <w:rFonts w:ascii="Times New Roman" w:hAnsi="Times New Roman"/>
                <w:b/>
                <w:bCs/>
                <w:color w:val="000000"/>
                <w:lang w:val="en-GB"/>
              </w:rPr>
            </w:pPr>
            <w:r w:rsidRPr="0072546F">
              <w:rPr>
                <w:rFonts w:ascii="Times New Roman" w:hAnsi="Times New Roman"/>
                <w:b/>
                <w:bCs/>
                <w:color w:val="000000"/>
                <w:lang w:val="en-GB"/>
              </w:rPr>
              <w:t>1</w:t>
            </w:r>
          </w:p>
        </w:tc>
        <w:tc>
          <w:tcPr>
            <w:tcW w:w="702" w:type="pct"/>
            <w:tcBorders>
              <w:top w:val="single" w:sz="6" w:space="0" w:color="000000"/>
              <w:left w:val="single" w:sz="6" w:space="0" w:color="000000"/>
              <w:bottom w:val="single" w:sz="6" w:space="0" w:color="000000"/>
              <w:right w:val="single" w:sz="6" w:space="0" w:color="000000"/>
            </w:tcBorders>
            <w:shd w:val="clear" w:color="auto" w:fill="F2F2F2"/>
          </w:tcPr>
          <w:p w14:paraId="19ACF2AD" w14:textId="77777777" w:rsidR="0095633E" w:rsidRPr="0072546F" w:rsidRDefault="0095633E" w:rsidP="008349EF">
            <w:pPr>
              <w:spacing w:line="240" w:lineRule="auto"/>
              <w:jc w:val="center"/>
              <w:rPr>
                <w:rFonts w:ascii="Times New Roman" w:hAnsi="Times New Roman"/>
                <w:b/>
                <w:bCs/>
                <w:color w:val="000000"/>
                <w:lang w:val="en-GB"/>
              </w:rPr>
            </w:pPr>
            <w:r w:rsidRPr="0072546F">
              <w:rPr>
                <w:rFonts w:ascii="Times New Roman" w:hAnsi="Times New Roman"/>
                <w:b/>
                <w:bCs/>
                <w:color w:val="000000"/>
                <w:lang w:val="en-GB"/>
              </w:rPr>
              <w:t>2</w:t>
            </w:r>
          </w:p>
        </w:tc>
        <w:tc>
          <w:tcPr>
            <w:tcW w:w="507" w:type="pct"/>
            <w:tcBorders>
              <w:top w:val="single" w:sz="6" w:space="0" w:color="000000"/>
              <w:left w:val="single" w:sz="6" w:space="0" w:color="000000"/>
              <w:bottom w:val="single" w:sz="6" w:space="0" w:color="000000"/>
              <w:right w:val="single" w:sz="6" w:space="0" w:color="000000"/>
            </w:tcBorders>
            <w:shd w:val="clear" w:color="auto" w:fill="F2F2F2"/>
          </w:tcPr>
          <w:p w14:paraId="1AE6909F" w14:textId="77777777" w:rsidR="0095633E" w:rsidRPr="0072546F" w:rsidRDefault="0095633E" w:rsidP="008349EF">
            <w:pPr>
              <w:spacing w:line="240" w:lineRule="auto"/>
              <w:jc w:val="center"/>
              <w:rPr>
                <w:rFonts w:ascii="Times New Roman" w:hAnsi="Times New Roman"/>
                <w:b/>
                <w:bCs/>
                <w:color w:val="000000"/>
                <w:lang w:val="en-GB"/>
              </w:rPr>
            </w:pPr>
            <w:r w:rsidRPr="0072546F">
              <w:rPr>
                <w:rFonts w:ascii="Times New Roman" w:hAnsi="Times New Roman"/>
                <w:b/>
                <w:bCs/>
                <w:color w:val="000000"/>
                <w:lang w:val="en-GB"/>
              </w:rPr>
              <w:t>3</w:t>
            </w:r>
          </w:p>
        </w:tc>
      </w:tr>
      <w:tr w:rsidR="0095633E" w:rsidRPr="0072546F" w14:paraId="04EEF5C2" w14:textId="77777777" w:rsidTr="008349EF">
        <w:trPr>
          <w:trHeight w:val="167"/>
          <w:jc w:val="center"/>
        </w:trPr>
        <w:tc>
          <w:tcPr>
            <w:tcW w:w="34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AFE2DDC" w14:textId="77777777" w:rsidR="0095633E" w:rsidRPr="0072546F" w:rsidRDefault="0095633E" w:rsidP="008349EF">
            <w:pPr>
              <w:spacing w:line="240" w:lineRule="auto"/>
              <w:jc w:val="center"/>
              <w:rPr>
                <w:rFonts w:ascii="Times New Roman" w:hAnsi="Times New Roman"/>
                <w:b/>
                <w:bCs/>
                <w:color w:val="000000"/>
                <w:lang w:val="en-GB"/>
              </w:rPr>
            </w:pPr>
            <w:r w:rsidRPr="0072546F">
              <w:rPr>
                <w:rFonts w:ascii="Times New Roman" w:hAnsi="Times New Roman"/>
                <w:b/>
                <w:bCs/>
                <w:color w:val="000000"/>
                <w:lang w:val="en-GB"/>
              </w:rPr>
              <w:t>1</w:t>
            </w:r>
          </w:p>
        </w:tc>
        <w:tc>
          <w:tcPr>
            <w:tcW w:w="137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4321840" w14:textId="77777777" w:rsidR="0095633E" w:rsidRPr="0072546F" w:rsidRDefault="0095633E" w:rsidP="008349EF">
            <w:pPr>
              <w:spacing w:line="240" w:lineRule="auto"/>
              <w:jc w:val="center"/>
              <w:rPr>
                <w:rFonts w:ascii="Times New Roman" w:hAnsi="Times New Roman"/>
                <w:b/>
                <w:bCs/>
                <w:color w:val="000000"/>
                <w:lang w:val="en-GB"/>
              </w:rPr>
            </w:pPr>
            <w:r w:rsidRPr="0072546F">
              <w:rPr>
                <w:rFonts w:ascii="Times New Roman" w:hAnsi="Times New Roman"/>
                <w:b/>
                <w:bCs/>
                <w:color w:val="000000"/>
                <w:lang w:val="en-GB"/>
              </w:rPr>
              <w:t>CAPITAL</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0D94C75" w14:textId="77777777" w:rsidR="0095633E" w:rsidRPr="0072546F" w:rsidRDefault="0095633E" w:rsidP="008349EF">
            <w:pPr>
              <w:spacing w:line="240" w:lineRule="auto"/>
              <w:jc w:val="center"/>
              <w:rPr>
                <w:rFonts w:ascii="Times New Roman" w:hAnsi="Times New Roman"/>
                <w:b/>
                <w:bCs/>
                <w:color w:val="000000"/>
                <w:lang w:val="en-GB"/>
              </w:rPr>
            </w:pPr>
          </w:p>
        </w:tc>
        <w:tc>
          <w:tcPr>
            <w:tcW w:w="604" w:type="pct"/>
            <w:tcBorders>
              <w:top w:val="single" w:sz="6" w:space="0" w:color="000000"/>
              <w:left w:val="single" w:sz="6" w:space="0" w:color="000000"/>
              <w:bottom w:val="single" w:sz="6" w:space="0" w:color="000000"/>
              <w:right w:val="single" w:sz="6" w:space="0" w:color="000000"/>
            </w:tcBorders>
            <w:shd w:val="clear" w:color="auto" w:fill="FFFFFF"/>
          </w:tcPr>
          <w:p w14:paraId="6B56EC0F" w14:textId="77777777" w:rsidR="0095633E" w:rsidRPr="0072546F" w:rsidRDefault="0095633E" w:rsidP="008349EF">
            <w:pPr>
              <w:spacing w:line="240" w:lineRule="auto"/>
              <w:jc w:val="center"/>
              <w:rPr>
                <w:rFonts w:ascii="Times New Roman" w:hAnsi="Times New Roman"/>
                <w:b/>
                <w:bCs/>
                <w:color w:val="000000"/>
                <w:lang w:val="en-GB"/>
              </w:rPr>
            </w:pPr>
          </w:p>
        </w:tc>
        <w:tc>
          <w:tcPr>
            <w:tcW w:w="751" w:type="pct"/>
            <w:tcBorders>
              <w:top w:val="single" w:sz="6" w:space="0" w:color="000000"/>
              <w:left w:val="single" w:sz="6" w:space="0" w:color="000000"/>
              <w:bottom w:val="single" w:sz="6" w:space="0" w:color="000000"/>
              <w:right w:val="single" w:sz="6" w:space="0" w:color="000000"/>
            </w:tcBorders>
            <w:shd w:val="clear" w:color="auto" w:fill="FFFFFF"/>
          </w:tcPr>
          <w:p w14:paraId="00AAE733" w14:textId="77777777" w:rsidR="0095633E" w:rsidRPr="0072546F" w:rsidRDefault="0095633E" w:rsidP="008349EF">
            <w:pPr>
              <w:spacing w:line="240" w:lineRule="auto"/>
              <w:jc w:val="center"/>
              <w:rPr>
                <w:rFonts w:ascii="Times New Roman" w:hAnsi="Times New Roman"/>
                <w:b/>
                <w:bCs/>
                <w:color w:val="000000"/>
                <w:lang w:val="en-GB"/>
              </w:rPr>
            </w:pPr>
          </w:p>
        </w:tc>
        <w:tc>
          <w:tcPr>
            <w:tcW w:w="702" w:type="pct"/>
            <w:tcBorders>
              <w:top w:val="single" w:sz="6" w:space="0" w:color="000000"/>
              <w:left w:val="single" w:sz="6" w:space="0" w:color="000000"/>
              <w:bottom w:val="single" w:sz="6" w:space="0" w:color="000000"/>
              <w:right w:val="single" w:sz="6" w:space="0" w:color="000000"/>
            </w:tcBorders>
            <w:shd w:val="clear" w:color="auto" w:fill="FFFFFF"/>
          </w:tcPr>
          <w:p w14:paraId="37744ACC" w14:textId="77777777" w:rsidR="0095633E" w:rsidRPr="0072546F" w:rsidRDefault="0095633E" w:rsidP="008349EF">
            <w:pPr>
              <w:spacing w:line="240" w:lineRule="auto"/>
              <w:jc w:val="center"/>
              <w:rPr>
                <w:rFonts w:ascii="Times New Roman" w:hAnsi="Times New Roman"/>
                <w:b/>
                <w:bCs/>
                <w:color w:val="000000"/>
                <w:lang w:val="en-GB"/>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cPr>
          <w:p w14:paraId="03664197" w14:textId="77777777" w:rsidR="0095633E" w:rsidRPr="0072546F" w:rsidRDefault="0095633E" w:rsidP="008349EF">
            <w:pPr>
              <w:spacing w:line="240" w:lineRule="auto"/>
              <w:jc w:val="center"/>
              <w:rPr>
                <w:rFonts w:ascii="Times New Roman" w:hAnsi="Times New Roman"/>
                <w:b/>
                <w:bCs/>
                <w:color w:val="000000"/>
                <w:lang w:val="en-GB"/>
              </w:rPr>
            </w:pPr>
          </w:p>
        </w:tc>
      </w:tr>
      <w:tr w:rsidR="0095633E" w:rsidRPr="0072546F" w14:paraId="72E638F3"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6B3EB"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1.1</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13129"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Share capital</w:t>
            </w:r>
          </w:p>
        </w:tc>
        <w:tc>
          <w:tcPr>
            <w:tcW w:w="723"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4307D639"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MDL million</w:t>
            </w:r>
          </w:p>
        </w:tc>
        <w:tc>
          <w:tcPr>
            <w:tcW w:w="604" w:type="pct"/>
            <w:tcBorders>
              <w:top w:val="single" w:sz="6" w:space="0" w:color="000000"/>
              <w:left w:val="single" w:sz="6" w:space="0" w:color="000000"/>
              <w:bottom w:val="single" w:sz="6" w:space="0" w:color="000000"/>
              <w:right w:val="single" w:sz="6" w:space="0" w:color="000000"/>
            </w:tcBorders>
          </w:tcPr>
          <w:p w14:paraId="1EB22ADE"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3423382D"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462EF2A9"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12200ED8"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05A16BAB"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3C33C"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1.2</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57923"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Common Equity Tier 1 capital</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5113A"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MDL million</w:t>
            </w:r>
          </w:p>
        </w:tc>
        <w:tc>
          <w:tcPr>
            <w:tcW w:w="604" w:type="pct"/>
            <w:tcBorders>
              <w:top w:val="single" w:sz="6" w:space="0" w:color="000000"/>
              <w:left w:val="single" w:sz="6" w:space="0" w:color="000000"/>
              <w:bottom w:val="single" w:sz="6" w:space="0" w:color="000000"/>
              <w:right w:val="single" w:sz="6" w:space="0" w:color="000000"/>
            </w:tcBorders>
          </w:tcPr>
          <w:p w14:paraId="7E72ABEB"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103A4C03"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2782C976"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5F777A73"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738397BE"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AC2317"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1.3</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CAE407"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Equity Tier 2 capital</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9A9CA4" w14:textId="77777777" w:rsidR="0095633E" w:rsidRPr="0072546F" w:rsidRDefault="0095633E" w:rsidP="008349EF">
            <w:pPr>
              <w:spacing w:line="240" w:lineRule="auto"/>
              <w:rPr>
                <w:lang w:val="en-GB"/>
              </w:rPr>
            </w:pPr>
            <w:r w:rsidRPr="0072546F">
              <w:rPr>
                <w:rFonts w:ascii="Times New Roman" w:hAnsi="Times New Roman"/>
                <w:color w:val="000000"/>
                <w:lang w:val="en-GB"/>
              </w:rPr>
              <w:t>MDL million</w:t>
            </w:r>
          </w:p>
        </w:tc>
        <w:tc>
          <w:tcPr>
            <w:tcW w:w="604" w:type="pct"/>
            <w:tcBorders>
              <w:top w:val="single" w:sz="6" w:space="0" w:color="000000"/>
              <w:left w:val="single" w:sz="6" w:space="0" w:color="000000"/>
              <w:bottom w:val="single" w:sz="6" w:space="0" w:color="000000"/>
              <w:right w:val="single" w:sz="6" w:space="0" w:color="000000"/>
            </w:tcBorders>
          </w:tcPr>
          <w:p w14:paraId="2277E69E"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6CD70739"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103D0F05"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1175E94B"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77DED63F"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614864"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1.4</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22DB41"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Total equity</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42058F" w14:textId="77777777" w:rsidR="0095633E" w:rsidRPr="0072546F" w:rsidRDefault="0095633E" w:rsidP="008349EF">
            <w:pPr>
              <w:spacing w:line="240" w:lineRule="auto"/>
              <w:rPr>
                <w:lang w:val="en-GB"/>
              </w:rPr>
            </w:pPr>
            <w:r w:rsidRPr="0072546F">
              <w:rPr>
                <w:rFonts w:ascii="Times New Roman" w:hAnsi="Times New Roman"/>
                <w:color w:val="000000"/>
                <w:lang w:val="en-GB"/>
              </w:rPr>
              <w:t>MDL million</w:t>
            </w:r>
          </w:p>
        </w:tc>
        <w:tc>
          <w:tcPr>
            <w:tcW w:w="604" w:type="pct"/>
            <w:tcBorders>
              <w:top w:val="single" w:sz="6" w:space="0" w:color="000000"/>
              <w:left w:val="single" w:sz="6" w:space="0" w:color="000000"/>
              <w:bottom w:val="single" w:sz="6" w:space="0" w:color="000000"/>
              <w:right w:val="single" w:sz="6" w:space="0" w:color="000000"/>
            </w:tcBorders>
          </w:tcPr>
          <w:p w14:paraId="6CDC1A96"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52F4CBF3"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14411301"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1F82CC28"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2398C172"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CE262C"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1.5</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9B466C"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Eligible capital</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E947F2" w14:textId="77777777" w:rsidR="0095633E" w:rsidRPr="0072546F" w:rsidRDefault="0095633E" w:rsidP="008349EF">
            <w:pPr>
              <w:spacing w:line="240" w:lineRule="auto"/>
              <w:rPr>
                <w:lang w:val="en-GB"/>
              </w:rPr>
            </w:pPr>
            <w:r w:rsidRPr="0072546F">
              <w:rPr>
                <w:rFonts w:ascii="Times New Roman" w:hAnsi="Times New Roman"/>
                <w:color w:val="000000"/>
                <w:lang w:val="en-GB"/>
              </w:rPr>
              <w:t>MDL million</w:t>
            </w:r>
          </w:p>
        </w:tc>
        <w:tc>
          <w:tcPr>
            <w:tcW w:w="604" w:type="pct"/>
            <w:tcBorders>
              <w:top w:val="single" w:sz="6" w:space="0" w:color="000000"/>
              <w:left w:val="single" w:sz="6" w:space="0" w:color="000000"/>
              <w:bottom w:val="single" w:sz="6" w:space="0" w:color="000000"/>
              <w:right w:val="single" w:sz="6" w:space="0" w:color="000000"/>
            </w:tcBorders>
          </w:tcPr>
          <w:p w14:paraId="6C79D6EB"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1936E491"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69EB576E"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0485FF1D"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430B2F94"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41F7F3"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1.6</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1EE56"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 xml:space="preserve">The total amount of risk exposure </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1108A" w14:textId="77777777" w:rsidR="0095633E" w:rsidRPr="0072546F" w:rsidRDefault="0095633E" w:rsidP="008349EF">
            <w:pPr>
              <w:spacing w:line="240" w:lineRule="auto"/>
              <w:rPr>
                <w:lang w:val="en-GB"/>
              </w:rPr>
            </w:pPr>
            <w:r w:rsidRPr="0072546F">
              <w:rPr>
                <w:rFonts w:ascii="Times New Roman" w:hAnsi="Times New Roman"/>
                <w:color w:val="000000"/>
                <w:lang w:val="en-GB"/>
              </w:rPr>
              <w:t>MDL million</w:t>
            </w:r>
          </w:p>
        </w:tc>
        <w:tc>
          <w:tcPr>
            <w:tcW w:w="604" w:type="pct"/>
            <w:tcBorders>
              <w:top w:val="single" w:sz="6" w:space="0" w:color="000000"/>
              <w:left w:val="single" w:sz="6" w:space="0" w:color="000000"/>
              <w:bottom w:val="single" w:sz="6" w:space="0" w:color="000000"/>
              <w:right w:val="single" w:sz="6" w:space="0" w:color="000000"/>
            </w:tcBorders>
          </w:tcPr>
          <w:p w14:paraId="26D459EC"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3B8A79C4"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4A6E3589"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0108A0BD"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0C863A99"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shd w:val="clear" w:color="auto" w:fill="F2F2F2"/>
            <w:tcMar>
              <w:top w:w="24" w:type="dxa"/>
              <w:left w:w="48" w:type="dxa"/>
              <w:bottom w:w="24" w:type="dxa"/>
              <w:right w:w="48" w:type="dxa"/>
            </w:tcMar>
          </w:tcPr>
          <w:p w14:paraId="1F2D0E18"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1.7</w:t>
            </w:r>
          </w:p>
        </w:tc>
        <w:tc>
          <w:tcPr>
            <w:tcW w:w="1371" w:type="pct"/>
            <w:tcBorders>
              <w:top w:val="single" w:sz="6" w:space="0" w:color="000000"/>
              <w:left w:val="single" w:sz="6" w:space="0" w:color="000000"/>
              <w:bottom w:val="single" w:sz="6" w:space="0" w:color="000000"/>
              <w:right w:val="single" w:sz="6" w:space="0" w:color="000000"/>
            </w:tcBorders>
            <w:shd w:val="clear" w:color="auto" w:fill="F2F2F2"/>
            <w:tcMar>
              <w:top w:w="24" w:type="dxa"/>
              <w:left w:w="48" w:type="dxa"/>
              <w:bottom w:w="24" w:type="dxa"/>
              <w:right w:w="48" w:type="dxa"/>
            </w:tcMar>
          </w:tcPr>
          <w:p w14:paraId="1E827F0B"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Total capital ratio</w:t>
            </w:r>
          </w:p>
        </w:tc>
        <w:tc>
          <w:tcPr>
            <w:tcW w:w="723" w:type="pct"/>
            <w:tcBorders>
              <w:top w:val="single" w:sz="6" w:space="0" w:color="000000"/>
              <w:left w:val="single" w:sz="6" w:space="0" w:color="000000"/>
              <w:bottom w:val="single" w:sz="6" w:space="0" w:color="000000"/>
              <w:right w:val="single" w:sz="6" w:space="0" w:color="000000"/>
            </w:tcBorders>
            <w:shd w:val="clear" w:color="auto" w:fill="F2F2F2"/>
            <w:tcMar>
              <w:top w:w="24" w:type="dxa"/>
              <w:left w:w="48" w:type="dxa"/>
              <w:bottom w:w="24" w:type="dxa"/>
              <w:right w:w="48" w:type="dxa"/>
            </w:tcMar>
          </w:tcPr>
          <w:p w14:paraId="0F50980C"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shd w:val="clear" w:color="auto" w:fill="F2F2F2"/>
          </w:tcPr>
          <w:p w14:paraId="21E5D00A"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shd w:val="clear" w:color="auto" w:fill="F2F2F2"/>
          </w:tcPr>
          <w:p w14:paraId="086AD4A5"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shd w:val="clear" w:color="auto" w:fill="F2F2F2"/>
          </w:tcPr>
          <w:p w14:paraId="056C7C96"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shd w:val="clear" w:color="auto" w:fill="F2F2F2"/>
          </w:tcPr>
          <w:p w14:paraId="2DF43446"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351E5636"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82B8E8"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1.8</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C4E08"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Total equity / Total assets</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A7A1F"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233BE2C9"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4B7805AC"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567E6A5B"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4AC2FADA"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3CB2394F"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DE275D"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1.9</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8FB24"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 xml:space="preserve">Calculated but unreserved </w:t>
            </w:r>
            <w:proofErr w:type="gramStart"/>
            <w:r w:rsidRPr="0072546F">
              <w:rPr>
                <w:rFonts w:ascii="Times New Roman" w:hAnsi="Times New Roman"/>
                <w:color w:val="000000"/>
                <w:lang w:val="en-GB"/>
              </w:rPr>
              <w:t>amount</w:t>
            </w:r>
            <w:proofErr w:type="gramEnd"/>
            <w:r w:rsidRPr="0072546F">
              <w:rPr>
                <w:rFonts w:ascii="Times New Roman" w:hAnsi="Times New Roman"/>
                <w:color w:val="000000"/>
                <w:lang w:val="en-GB"/>
              </w:rPr>
              <w:t xml:space="preserve"> of allowances for impairment losses on assets and conditional commitments</w:t>
            </w:r>
            <w:r w:rsidRPr="0072546F">
              <w:rPr>
                <w:rFonts w:ascii="Times New Roman" w:hAnsi="Times New Roman"/>
                <w:color w:val="000000"/>
                <w:vertAlign w:val="superscript"/>
                <w:lang w:val="en-GB"/>
              </w:rPr>
              <w:t>1</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7848C"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MDL million</w:t>
            </w:r>
          </w:p>
        </w:tc>
        <w:tc>
          <w:tcPr>
            <w:tcW w:w="604" w:type="pct"/>
            <w:tcBorders>
              <w:top w:val="single" w:sz="6" w:space="0" w:color="000000"/>
              <w:left w:val="single" w:sz="6" w:space="0" w:color="000000"/>
              <w:bottom w:val="single" w:sz="6" w:space="0" w:color="000000"/>
              <w:right w:val="single" w:sz="6" w:space="0" w:color="000000"/>
            </w:tcBorders>
          </w:tcPr>
          <w:p w14:paraId="27D4BAFD"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2716445E"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1C49966E"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4E1CA9FD"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5F6AC67E"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4D62D8"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1.10</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5B575"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Level of impairment of Common Equity Tier 1 capital</w:t>
            </w:r>
            <w:r w:rsidRPr="0072546F">
              <w:rPr>
                <w:rFonts w:ascii="Times New Roman" w:hAnsi="Times New Roman"/>
                <w:color w:val="000000"/>
                <w:vertAlign w:val="superscript"/>
                <w:lang w:val="en-GB"/>
              </w:rPr>
              <w:t xml:space="preserve"> 2</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F442A"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0D06C000"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57007114"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46FEE521"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3BA90D2A"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5F07C7D4"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4DBF7E"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1.11</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817F2"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Total debts / Total capital</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B6A37" w14:textId="77777777" w:rsidR="0095633E" w:rsidRPr="0072546F" w:rsidRDefault="0095633E" w:rsidP="008349EF">
            <w:pPr>
              <w:spacing w:line="240" w:lineRule="auto"/>
              <w:rPr>
                <w:rFonts w:ascii="Times New Roman" w:hAnsi="Times New Roman"/>
                <w:color w:val="000000"/>
                <w:lang w:val="en-GB"/>
              </w:rPr>
            </w:pPr>
          </w:p>
        </w:tc>
        <w:tc>
          <w:tcPr>
            <w:tcW w:w="604" w:type="pct"/>
            <w:tcBorders>
              <w:top w:val="single" w:sz="6" w:space="0" w:color="000000"/>
              <w:left w:val="single" w:sz="6" w:space="0" w:color="000000"/>
              <w:bottom w:val="single" w:sz="6" w:space="0" w:color="000000"/>
              <w:right w:val="single" w:sz="6" w:space="0" w:color="000000"/>
            </w:tcBorders>
          </w:tcPr>
          <w:p w14:paraId="05A6AEE1" w14:textId="77777777" w:rsidR="0095633E" w:rsidRPr="0072546F" w:rsidRDefault="0095633E" w:rsidP="008349EF">
            <w:pPr>
              <w:spacing w:line="240" w:lineRule="auto"/>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668F9A9E" w14:textId="77777777" w:rsidR="0095633E" w:rsidRPr="0072546F" w:rsidRDefault="0095633E" w:rsidP="008349EF">
            <w:pPr>
              <w:spacing w:line="240" w:lineRule="auto"/>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2E2B9809" w14:textId="77777777" w:rsidR="0095633E" w:rsidRPr="0072546F" w:rsidRDefault="0095633E" w:rsidP="008349EF">
            <w:pPr>
              <w:spacing w:line="240" w:lineRule="auto"/>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597455AE" w14:textId="77777777" w:rsidR="0095633E" w:rsidRPr="0072546F" w:rsidRDefault="0095633E" w:rsidP="008349EF">
            <w:pPr>
              <w:spacing w:line="240" w:lineRule="auto"/>
              <w:rPr>
                <w:rFonts w:ascii="Times New Roman" w:hAnsi="Times New Roman"/>
                <w:color w:val="000000"/>
                <w:lang w:val="en-GB"/>
              </w:rPr>
            </w:pPr>
          </w:p>
        </w:tc>
      </w:tr>
      <w:tr w:rsidR="0095633E" w:rsidRPr="0072546F" w14:paraId="1DD8889F"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8A0521"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lastRenderedPageBreak/>
              <w:t>1.12</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39927"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Foreign investments in bank's share capital</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76907"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3394EEC3"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739871AC"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3A4DD496"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56E15722"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27DBC6FB"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FE0A5D"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1.13</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E05A05"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Leverage ratio indicator</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EA292F" w14:textId="77777777" w:rsidR="0095633E" w:rsidRPr="0072546F" w:rsidRDefault="0095633E" w:rsidP="008349EF">
            <w:pPr>
              <w:spacing w:line="240" w:lineRule="auto"/>
              <w:jc w:val="center"/>
              <w:rPr>
                <w:rFonts w:ascii="Times New Roman" w:hAnsi="Times New Roman"/>
                <w:color w:val="000000"/>
                <w:lang w:val="en-GB"/>
              </w:rPr>
            </w:pPr>
          </w:p>
        </w:tc>
        <w:tc>
          <w:tcPr>
            <w:tcW w:w="604" w:type="pct"/>
            <w:tcBorders>
              <w:top w:val="single" w:sz="6" w:space="0" w:color="000000"/>
              <w:left w:val="single" w:sz="6" w:space="0" w:color="000000"/>
              <w:bottom w:val="single" w:sz="6" w:space="0" w:color="000000"/>
              <w:right w:val="single" w:sz="6" w:space="0" w:color="000000"/>
            </w:tcBorders>
          </w:tcPr>
          <w:p w14:paraId="613AF931"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2E76B63A"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1B39985A"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0B9680E7"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44A2E70C"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6D5357"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1.13.1</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23075F"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Total exposure measure indicator</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DEAE63"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eastAsia="Times New Roman" w:hAnsi="Times New Roman"/>
                <w:lang w:eastAsia="ro-MD"/>
              </w:rPr>
              <w:t>MDL million</w:t>
            </w:r>
          </w:p>
        </w:tc>
        <w:tc>
          <w:tcPr>
            <w:tcW w:w="604" w:type="pct"/>
            <w:tcBorders>
              <w:top w:val="single" w:sz="6" w:space="0" w:color="000000"/>
              <w:left w:val="single" w:sz="6" w:space="0" w:color="000000"/>
              <w:bottom w:val="single" w:sz="6" w:space="0" w:color="000000"/>
              <w:right w:val="single" w:sz="6" w:space="0" w:color="000000"/>
            </w:tcBorders>
          </w:tcPr>
          <w:p w14:paraId="59D4F4DD"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59C2A783"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1BA135A4"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1293A162"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323E0C34"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8684E9" w14:textId="77777777" w:rsidR="0095633E" w:rsidRPr="0072546F" w:rsidRDefault="0095633E" w:rsidP="008349EF">
            <w:pPr>
              <w:spacing w:line="240" w:lineRule="auto"/>
              <w:jc w:val="center"/>
              <w:rPr>
                <w:rFonts w:ascii="Times New Roman" w:hAnsi="Times New Roman"/>
                <w:color w:val="000000"/>
                <w:lang w:val="en-GB"/>
              </w:rPr>
            </w:pPr>
            <w:r w:rsidRPr="005C2726">
              <w:rPr>
                <w:rFonts w:ascii="Times New Roman" w:eastAsia="Times New Roman" w:hAnsi="Times New Roman"/>
                <w:lang w:eastAsia="ro-MD"/>
              </w:rPr>
              <w:t>1.13.2</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A5B869"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rPr>
              <w:t>Leverage ratio indicator</w:t>
            </w:r>
            <w:r w:rsidRPr="0072546F">
              <w:rPr>
                <w:rFonts w:ascii="Times New Roman" w:eastAsia="Times New Roman" w:hAnsi="Times New Roman"/>
                <w:lang w:eastAsia="ro-MD"/>
              </w:rPr>
              <w:t xml:space="preserve"> </w:t>
            </w:r>
            <w:r w:rsidRPr="005C2726">
              <w:rPr>
                <w:rFonts w:ascii="Times New Roman" w:eastAsia="Times New Roman" w:hAnsi="Times New Roman"/>
                <w:vertAlign w:val="superscript"/>
                <w:lang w:eastAsia="ro-MD"/>
              </w:rPr>
              <w:t>2a</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A05ED9" w14:textId="77777777" w:rsidR="0095633E" w:rsidRPr="0072546F" w:rsidRDefault="0095633E" w:rsidP="008349EF">
            <w:pPr>
              <w:spacing w:line="240" w:lineRule="auto"/>
              <w:jc w:val="center"/>
              <w:rPr>
                <w:rFonts w:ascii="Times New Roman" w:hAnsi="Times New Roman"/>
                <w:color w:val="000000"/>
                <w:lang w:val="en-GB"/>
              </w:rPr>
            </w:pPr>
            <w:r w:rsidRPr="005C2726">
              <w:rPr>
                <w:rFonts w:ascii="Times New Roman" w:eastAsia="Times New Roman" w:hAnsi="Times New Roman"/>
                <w:lang w:eastAsia="ro-MD"/>
              </w:rPr>
              <w:t>%</w:t>
            </w:r>
          </w:p>
        </w:tc>
        <w:tc>
          <w:tcPr>
            <w:tcW w:w="604" w:type="pct"/>
            <w:tcBorders>
              <w:top w:val="single" w:sz="6" w:space="0" w:color="000000"/>
              <w:left w:val="single" w:sz="6" w:space="0" w:color="000000"/>
              <w:bottom w:val="single" w:sz="6" w:space="0" w:color="000000"/>
              <w:right w:val="single" w:sz="6" w:space="0" w:color="000000"/>
            </w:tcBorders>
          </w:tcPr>
          <w:p w14:paraId="06638859"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337265D2"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46B8F890"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41248CE5"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57CDE081"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66E6A8" w14:textId="77777777" w:rsidR="0095633E" w:rsidRPr="0072546F" w:rsidRDefault="0095633E" w:rsidP="008349EF">
            <w:pPr>
              <w:spacing w:line="240" w:lineRule="auto"/>
              <w:jc w:val="center"/>
              <w:rPr>
                <w:rFonts w:ascii="Times New Roman" w:hAnsi="Times New Roman"/>
                <w:b/>
                <w:color w:val="000000"/>
                <w:lang w:val="en-GB"/>
              </w:rPr>
            </w:pPr>
            <w:r w:rsidRPr="0072546F">
              <w:rPr>
                <w:rFonts w:ascii="Times New Roman" w:hAnsi="Times New Roman"/>
                <w:b/>
                <w:color w:val="000000"/>
                <w:lang w:val="en-GB"/>
              </w:rPr>
              <w:t>2</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AB849D" w14:textId="77777777" w:rsidR="0095633E" w:rsidRPr="0072546F" w:rsidRDefault="0095633E" w:rsidP="008349EF">
            <w:pPr>
              <w:spacing w:line="240" w:lineRule="auto"/>
              <w:jc w:val="center"/>
              <w:rPr>
                <w:rFonts w:ascii="Times New Roman" w:hAnsi="Times New Roman"/>
                <w:b/>
                <w:color w:val="000000"/>
                <w:lang w:val="en-GB"/>
              </w:rPr>
            </w:pPr>
            <w:r w:rsidRPr="0072546F">
              <w:rPr>
                <w:rFonts w:ascii="Times New Roman" w:hAnsi="Times New Roman"/>
                <w:b/>
                <w:color w:val="000000"/>
                <w:lang w:val="en-GB"/>
              </w:rPr>
              <w:t>ASSETS</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0B3CBF" w14:textId="77777777" w:rsidR="0095633E" w:rsidRPr="0072546F" w:rsidRDefault="0095633E" w:rsidP="008349EF">
            <w:pPr>
              <w:spacing w:line="240" w:lineRule="auto"/>
              <w:jc w:val="center"/>
              <w:rPr>
                <w:rFonts w:ascii="Times New Roman" w:hAnsi="Times New Roman"/>
                <w:color w:val="000000"/>
                <w:lang w:val="en-GB"/>
              </w:rPr>
            </w:pPr>
          </w:p>
        </w:tc>
        <w:tc>
          <w:tcPr>
            <w:tcW w:w="604" w:type="pct"/>
            <w:tcBorders>
              <w:top w:val="single" w:sz="6" w:space="0" w:color="000000"/>
              <w:left w:val="single" w:sz="6" w:space="0" w:color="000000"/>
              <w:bottom w:val="single" w:sz="6" w:space="0" w:color="000000"/>
              <w:right w:val="single" w:sz="6" w:space="0" w:color="000000"/>
            </w:tcBorders>
          </w:tcPr>
          <w:p w14:paraId="082650B2"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40F25FF5"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2D5802B0"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246BD4C2"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1E3141EB"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AA063"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2.1</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7C28A"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 xml:space="preserve">Funds due from banks, excluding National Bank of Moldova (principal amount) </w:t>
            </w:r>
            <w:r w:rsidRPr="0072546F">
              <w:rPr>
                <w:rFonts w:ascii="Times New Roman" w:hAnsi="Times New Roman"/>
                <w:color w:val="000000"/>
                <w:vertAlign w:val="superscript"/>
                <w:lang w:val="en-GB"/>
              </w:rPr>
              <w:t>3</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F1A67" w14:textId="77777777" w:rsidR="0095633E" w:rsidRPr="0072546F" w:rsidRDefault="0095633E" w:rsidP="008349EF">
            <w:pPr>
              <w:spacing w:line="240" w:lineRule="auto"/>
              <w:rPr>
                <w:lang w:val="en-GB"/>
              </w:rPr>
            </w:pPr>
            <w:r w:rsidRPr="0072546F">
              <w:rPr>
                <w:rFonts w:ascii="Times New Roman" w:hAnsi="Times New Roman"/>
                <w:color w:val="000000"/>
                <w:lang w:val="en-GB"/>
              </w:rPr>
              <w:t>MDL million</w:t>
            </w:r>
          </w:p>
        </w:tc>
        <w:tc>
          <w:tcPr>
            <w:tcW w:w="604" w:type="pct"/>
            <w:tcBorders>
              <w:top w:val="single" w:sz="6" w:space="0" w:color="000000"/>
              <w:left w:val="single" w:sz="6" w:space="0" w:color="000000"/>
              <w:bottom w:val="single" w:sz="6" w:space="0" w:color="000000"/>
              <w:right w:val="single" w:sz="6" w:space="0" w:color="000000"/>
            </w:tcBorders>
          </w:tcPr>
          <w:p w14:paraId="7F3494F7"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1F43C6BC"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062BEFA5"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5E953C25"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6726D549"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A8C1E"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2.2</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E3A22"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 xml:space="preserve">Funds due from foreign banks (principal amount) </w:t>
            </w:r>
            <w:r w:rsidRPr="0072546F">
              <w:rPr>
                <w:rFonts w:ascii="Times New Roman" w:hAnsi="Times New Roman"/>
                <w:color w:val="000000"/>
                <w:vertAlign w:val="superscript"/>
                <w:lang w:val="en-GB"/>
              </w:rPr>
              <w:t>4</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8FF05" w14:textId="77777777" w:rsidR="0095633E" w:rsidRPr="0072546F" w:rsidRDefault="0095633E" w:rsidP="008349EF">
            <w:pPr>
              <w:spacing w:line="240" w:lineRule="auto"/>
              <w:rPr>
                <w:lang w:val="en-GB"/>
              </w:rPr>
            </w:pPr>
            <w:r w:rsidRPr="0072546F">
              <w:rPr>
                <w:rFonts w:ascii="Times New Roman" w:hAnsi="Times New Roman"/>
                <w:color w:val="000000"/>
                <w:lang w:val="en-GB"/>
              </w:rPr>
              <w:t>MDL million</w:t>
            </w:r>
          </w:p>
        </w:tc>
        <w:tc>
          <w:tcPr>
            <w:tcW w:w="604" w:type="pct"/>
            <w:tcBorders>
              <w:top w:val="single" w:sz="6" w:space="0" w:color="000000"/>
              <w:left w:val="single" w:sz="6" w:space="0" w:color="000000"/>
              <w:bottom w:val="single" w:sz="6" w:space="0" w:color="000000"/>
              <w:right w:val="single" w:sz="6" w:space="0" w:color="000000"/>
            </w:tcBorders>
          </w:tcPr>
          <w:p w14:paraId="5DCC4665"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00B579E5"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4D11FA91"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45C6653E"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6CE7FE69" w14:textId="77777777" w:rsidTr="008349EF">
        <w:trPr>
          <w:trHeight w:val="767"/>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14296"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2.3</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45201"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Funds due from banks, excluding National Bank of Moldova (principal amount) / Total own funds</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ABE36" w14:textId="77777777" w:rsidR="0095633E" w:rsidRPr="0072546F" w:rsidRDefault="0095633E" w:rsidP="008349EF">
            <w:pPr>
              <w:spacing w:line="240" w:lineRule="auto"/>
              <w:rPr>
                <w:rFonts w:ascii="Times New Roman" w:hAnsi="Times New Roman"/>
                <w:color w:val="000000"/>
                <w:lang w:val="en-GB"/>
              </w:rPr>
            </w:pPr>
          </w:p>
        </w:tc>
        <w:tc>
          <w:tcPr>
            <w:tcW w:w="604" w:type="pct"/>
            <w:tcBorders>
              <w:top w:val="single" w:sz="6" w:space="0" w:color="000000"/>
              <w:left w:val="single" w:sz="6" w:space="0" w:color="000000"/>
              <w:bottom w:val="single" w:sz="6" w:space="0" w:color="000000"/>
              <w:right w:val="single" w:sz="6" w:space="0" w:color="000000"/>
            </w:tcBorders>
          </w:tcPr>
          <w:p w14:paraId="02601342" w14:textId="77777777" w:rsidR="0095633E" w:rsidRPr="0072546F" w:rsidRDefault="0095633E" w:rsidP="008349EF">
            <w:pPr>
              <w:spacing w:line="240" w:lineRule="auto"/>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3ACF8532" w14:textId="77777777" w:rsidR="0095633E" w:rsidRPr="0072546F" w:rsidRDefault="0095633E" w:rsidP="008349EF">
            <w:pPr>
              <w:spacing w:line="240" w:lineRule="auto"/>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4635AE2D" w14:textId="77777777" w:rsidR="0095633E" w:rsidRPr="0072546F" w:rsidRDefault="0095633E" w:rsidP="008349EF">
            <w:pPr>
              <w:spacing w:line="240" w:lineRule="auto"/>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1467CB1E" w14:textId="77777777" w:rsidR="0095633E" w:rsidRPr="0072546F" w:rsidRDefault="0095633E" w:rsidP="008349EF">
            <w:pPr>
              <w:spacing w:line="240" w:lineRule="auto"/>
              <w:rPr>
                <w:rFonts w:ascii="Times New Roman" w:hAnsi="Times New Roman"/>
                <w:color w:val="000000"/>
                <w:lang w:val="en-GB"/>
              </w:rPr>
            </w:pPr>
          </w:p>
        </w:tc>
      </w:tr>
      <w:tr w:rsidR="0095633E" w:rsidRPr="0072546F" w14:paraId="4658715C" w14:textId="77777777" w:rsidTr="008349EF">
        <w:trPr>
          <w:trHeight w:val="712"/>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7EB0C"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2.4</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0EA38"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Funds due from foreign banks (principal amount) / Total own funds</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675C1" w14:textId="77777777" w:rsidR="0095633E" w:rsidRPr="0072546F" w:rsidRDefault="0095633E" w:rsidP="008349EF">
            <w:pPr>
              <w:spacing w:line="240" w:lineRule="auto"/>
              <w:rPr>
                <w:rFonts w:ascii="Times New Roman" w:hAnsi="Times New Roman"/>
                <w:color w:val="000000"/>
                <w:lang w:val="en-GB"/>
              </w:rPr>
            </w:pPr>
          </w:p>
        </w:tc>
        <w:tc>
          <w:tcPr>
            <w:tcW w:w="604" w:type="pct"/>
            <w:tcBorders>
              <w:top w:val="single" w:sz="6" w:space="0" w:color="000000"/>
              <w:left w:val="single" w:sz="6" w:space="0" w:color="000000"/>
              <w:bottom w:val="single" w:sz="6" w:space="0" w:color="000000"/>
              <w:right w:val="single" w:sz="6" w:space="0" w:color="000000"/>
            </w:tcBorders>
          </w:tcPr>
          <w:p w14:paraId="3920606E" w14:textId="77777777" w:rsidR="0095633E" w:rsidRPr="0072546F" w:rsidRDefault="0095633E" w:rsidP="008349EF">
            <w:pPr>
              <w:spacing w:line="240" w:lineRule="auto"/>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2A202458" w14:textId="77777777" w:rsidR="0095633E" w:rsidRPr="0072546F" w:rsidRDefault="0095633E" w:rsidP="008349EF">
            <w:pPr>
              <w:spacing w:line="240" w:lineRule="auto"/>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2E1F0947" w14:textId="77777777" w:rsidR="0095633E" w:rsidRPr="0072546F" w:rsidRDefault="0095633E" w:rsidP="008349EF">
            <w:pPr>
              <w:spacing w:line="240" w:lineRule="auto"/>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77B3C34E" w14:textId="77777777" w:rsidR="0095633E" w:rsidRPr="0072546F" w:rsidRDefault="0095633E" w:rsidP="008349EF">
            <w:pPr>
              <w:spacing w:line="240" w:lineRule="auto"/>
              <w:rPr>
                <w:rFonts w:ascii="Times New Roman" w:hAnsi="Times New Roman"/>
                <w:color w:val="000000"/>
                <w:lang w:val="en-GB"/>
              </w:rPr>
            </w:pPr>
          </w:p>
        </w:tc>
      </w:tr>
      <w:tr w:rsidR="0095633E" w:rsidRPr="0072546F" w14:paraId="52BA2AB8"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1B129"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2.5</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64A76"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Balance of credit debt (principal amount)</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35F2B" w14:textId="77777777" w:rsidR="0095633E" w:rsidRPr="0072546F" w:rsidRDefault="0095633E" w:rsidP="008349EF">
            <w:pPr>
              <w:spacing w:line="240" w:lineRule="auto"/>
              <w:rPr>
                <w:lang w:val="en-GB"/>
              </w:rPr>
            </w:pPr>
            <w:r w:rsidRPr="0072546F">
              <w:rPr>
                <w:rFonts w:ascii="Times New Roman" w:hAnsi="Times New Roman"/>
                <w:color w:val="000000"/>
                <w:lang w:val="en-GB"/>
              </w:rPr>
              <w:t>MDL million</w:t>
            </w:r>
          </w:p>
        </w:tc>
        <w:tc>
          <w:tcPr>
            <w:tcW w:w="604" w:type="pct"/>
            <w:tcBorders>
              <w:top w:val="single" w:sz="6" w:space="0" w:color="000000"/>
              <w:left w:val="single" w:sz="6" w:space="0" w:color="000000"/>
              <w:bottom w:val="single" w:sz="6" w:space="0" w:color="000000"/>
              <w:right w:val="single" w:sz="6" w:space="0" w:color="000000"/>
            </w:tcBorders>
          </w:tcPr>
          <w:p w14:paraId="2CB6C758"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7B0A42D2"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53B279E9"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00FBB0CC"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204BB6B6"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5BFEB"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2.6</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06EF7"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Balance of non-performing credits debt (principal amount)</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DD658" w14:textId="77777777" w:rsidR="0095633E" w:rsidRPr="0072546F" w:rsidRDefault="0095633E" w:rsidP="008349EF">
            <w:pPr>
              <w:spacing w:line="240" w:lineRule="auto"/>
              <w:rPr>
                <w:lang w:val="en-GB"/>
              </w:rPr>
            </w:pPr>
            <w:r w:rsidRPr="0072546F">
              <w:rPr>
                <w:rFonts w:ascii="Times New Roman" w:hAnsi="Times New Roman"/>
                <w:color w:val="000000"/>
                <w:lang w:val="en-GB"/>
              </w:rPr>
              <w:t>MDL million</w:t>
            </w:r>
          </w:p>
        </w:tc>
        <w:tc>
          <w:tcPr>
            <w:tcW w:w="604" w:type="pct"/>
            <w:tcBorders>
              <w:top w:val="single" w:sz="6" w:space="0" w:color="000000"/>
              <w:left w:val="single" w:sz="6" w:space="0" w:color="000000"/>
              <w:bottom w:val="single" w:sz="6" w:space="0" w:color="000000"/>
              <w:right w:val="single" w:sz="6" w:space="0" w:color="000000"/>
            </w:tcBorders>
          </w:tcPr>
          <w:p w14:paraId="4AA4B4ED"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2BBDC276"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29DA04F5"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2BFCE78C"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7FAF5E59"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D1739"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2.7</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09489"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Balance of non-performing credits debt (principal amount) / Total own funds</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F39C3"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74C7E08D"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32FE8506"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6941FE22"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23BF5F15"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56506757"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3859B"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2.8</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935CB"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Balance of net non-performing credits debt (principal amount) / Total own funds</w:t>
            </w:r>
            <w:r w:rsidRPr="0072546F">
              <w:rPr>
                <w:rFonts w:ascii="Times New Roman" w:hAnsi="Times New Roman"/>
                <w:color w:val="000000"/>
                <w:vertAlign w:val="superscript"/>
                <w:lang w:val="en-GB"/>
              </w:rPr>
              <w:t>5</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18635"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4C469ACF"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4BADE532"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693E7B84"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1D155451"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62D2DA24"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94C1F"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2.9</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A2118"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Balance of non-performing credits debt (principal amount) / Balance of credit debt (principal amount)</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47BC6"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312D1D8B"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2AD32355"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00FF3273"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593F0C97"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68BB9E4D"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781DA"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2.10</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D5BD2"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Balance of net non-performing assets, including loans / total own funds</w:t>
            </w:r>
            <w:r w:rsidRPr="0072546F" w:rsidDel="00794728">
              <w:rPr>
                <w:rFonts w:ascii="Times New Roman" w:hAnsi="Times New Roman"/>
                <w:color w:val="000000"/>
                <w:lang w:val="en-GB"/>
              </w:rPr>
              <w:t xml:space="preserve"> </w:t>
            </w:r>
            <w:r w:rsidRPr="0072546F">
              <w:rPr>
                <w:rFonts w:ascii="Times New Roman" w:hAnsi="Times New Roman"/>
                <w:b/>
                <w:bCs/>
                <w:color w:val="000000"/>
                <w:vertAlign w:val="superscript"/>
                <w:lang w:val="en-GB"/>
              </w:rPr>
              <w:t>6</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82FAD"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2B99D604"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47B42CF2"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662D236B"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6CB4A21A"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2699494C" w14:textId="77777777" w:rsidTr="008349EF">
        <w:trPr>
          <w:trHeight w:val="827"/>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4EEAE"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lastRenderedPageBreak/>
              <w:t>2.11</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5429B"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 xml:space="preserve">Calculated </w:t>
            </w:r>
            <w:proofErr w:type="gramStart"/>
            <w:r w:rsidRPr="0072546F">
              <w:rPr>
                <w:rFonts w:ascii="Times New Roman" w:hAnsi="Times New Roman"/>
                <w:color w:val="000000"/>
                <w:lang w:val="en-GB"/>
              </w:rPr>
              <w:t>amount</w:t>
            </w:r>
            <w:proofErr w:type="gramEnd"/>
            <w:r w:rsidRPr="0072546F">
              <w:rPr>
                <w:rFonts w:ascii="Times New Roman" w:hAnsi="Times New Roman"/>
                <w:color w:val="000000"/>
                <w:lang w:val="en-GB"/>
              </w:rPr>
              <w:t xml:space="preserve"> of losses on assets and conditional commitments</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91364" w14:textId="77777777" w:rsidR="0095633E" w:rsidRPr="0072546F" w:rsidRDefault="0095633E" w:rsidP="008349EF">
            <w:pPr>
              <w:spacing w:line="240" w:lineRule="auto"/>
              <w:rPr>
                <w:lang w:val="en-GB"/>
              </w:rPr>
            </w:pPr>
            <w:r w:rsidRPr="0072546F">
              <w:rPr>
                <w:rFonts w:ascii="Times New Roman" w:hAnsi="Times New Roman"/>
                <w:color w:val="000000"/>
                <w:lang w:val="en-GB"/>
              </w:rPr>
              <w:t>MDL million</w:t>
            </w:r>
          </w:p>
        </w:tc>
        <w:tc>
          <w:tcPr>
            <w:tcW w:w="604" w:type="pct"/>
            <w:tcBorders>
              <w:top w:val="single" w:sz="6" w:space="0" w:color="000000"/>
              <w:left w:val="single" w:sz="6" w:space="0" w:color="000000"/>
              <w:bottom w:val="single" w:sz="6" w:space="0" w:color="000000"/>
              <w:right w:val="single" w:sz="6" w:space="0" w:color="000000"/>
            </w:tcBorders>
          </w:tcPr>
          <w:p w14:paraId="0479DBE4"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51F57758"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50F049AD"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2D476277"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725EC1B5"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DA8D2"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2.12</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273AD"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 xml:space="preserve">Calculated </w:t>
            </w:r>
            <w:proofErr w:type="gramStart"/>
            <w:r w:rsidRPr="0072546F">
              <w:rPr>
                <w:rFonts w:ascii="Times New Roman" w:hAnsi="Times New Roman"/>
                <w:color w:val="000000"/>
                <w:lang w:val="en-GB"/>
              </w:rPr>
              <w:t>amount</w:t>
            </w:r>
            <w:proofErr w:type="gramEnd"/>
            <w:r w:rsidRPr="0072546F">
              <w:rPr>
                <w:rFonts w:ascii="Times New Roman" w:hAnsi="Times New Roman"/>
                <w:color w:val="000000"/>
                <w:lang w:val="en-GB"/>
              </w:rPr>
              <w:t xml:space="preserve"> of allowances for impairment losses on assets and </w:t>
            </w:r>
            <w:proofErr w:type="gramStart"/>
            <w:r w:rsidRPr="0072546F">
              <w:rPr>
                <w:rFonts w:ascii="Times New Roman" w:hAnsi="Times New Roman"/>
                <w:color w:val="000000"/>
                <w:lang w:val="en-GB"/>
              </w:rPr>
              <w:t>provisions  made</w:t>
            </w:r>
            <w:proofErr w:type="gramEnd"/>
            <w:r w:rsidRPr="0072546F">
              <w:rPr>
                <w:rFonts w:ascii="Times New Roman" w:hAnsi="Times New Roman"/>
                <w:color w:val="000000"/>
                <w:lang w:val="en-GB"/>
              </w:rPr>
              <w:t xml:space="preserve"> for losses on conditional commitments in accordance with International Financial Reporting Standards</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CA98F" w14:textId="77777777" w:rsidR="0095633E" w:rsidRPr="0072546F" w:rsidRDefault="0095633E" w:rsidP="008349EF">
            <w:pPr>
              <w:spacing w:line="240" w:lineRule="auto"/>
              <w:rPr>
                <w:lang w:val="en-GB"/>
              </w:rPr>
            </w:pPr>
            <w:r w:rsidRPr="0072546F">
              <w:rPr>
                <w:rFonts w:ascii="Times New Roman" w:hAnsi="Times New Roman"/>
                <w:color w:val="000000"/>
                <w:lang w:val="en-GB"/>
              </w:rPr>
              <w:t>MDL million</w:t>
            </w:r>
          </w:p>
        </w:tc>
        <w:tc>
          <w:tcPr>
            <w:tcW w:w="604" w:type="pct"/>
            <w:tcBorders>
              <w:top w:val="single" w:sz="6" w:space="0" w:color="000000"/>
              <w:left w:val="single" w:sz="6" w:space="0" w:color="000000"/>
              <w:bottom w:val="single" w:sz="6" w:space="0" w:color="000000"/>
              <w:right w:val="single" w:sz="6" w:space="0" w:color="000000"/>
            </w:tcBorders>
          </w:tcPr>
          <w:p w14:paraId="3F01BA93"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405F7B55"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2A0B553B"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0FD17AC0"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694A43BB"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A322B"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2.13</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36760"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Calculated amount of the allowance for balance of credit debt (principal amount) / Balance of credit debt (principal amount)</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199DA"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3C382114"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5059D0C9"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20AB84AA"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6F0D38D5"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545B75A6"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53C9E"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2.14</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35185"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Total past due credits*</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AFFCF"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MDL million</w:t>
            </w:r>
          </w:p>
        </w:tc>
        <w:tc>
          <w:tcPr>
            <w:tcW w:w="604" w:type="pct"/>
            <w:tcBorders>
              <w:top w:val="single" w:sz="6" w:space="0" w:color="000000"/>
              <w:left w:val="single" w:sz="6" w:space="0" w:color="000000"/>
              <w:bottom w:val="single" w:sz="6" w:space="0" w:color="000000"/>
              <w:right w:val="single" w:sz="6" w:space="0" w:color="000000"/>
            </w:tcBorders>
          </w:tcPr>
          <w:p w14:paraId="3CD46D49"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3C714F21"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61F57503"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2096CDA2"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5C51000F"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D4B2D"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2.15</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9F071"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 xml:space="preserve">Monthly average value of interest-bearing assets/ Monthly average value of assets </w:t>
            </w:r>
            <w:r w:rsidRPr="0072546F">
              <w:rPr>
                <w:rFonts w:ascii="Times New Roman" w:hAnsi="Times New Roman"/>
                <w:color w:val="000000"/>
                <w:vertAlign w:val="superscript"/>
                <w:lang w:val="en-GB"/>
              </w:rPr>
              <w:t>7</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9D287"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0C5E56B8"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1A3183DF"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789CD03C"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32ED7FEA"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755F6718"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C274D"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2.16</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C855E"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 xml:space="preserve"> Balance of credits debt in foreign currency (principal amount) / Balance of credit debt (principal amount)</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56388"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57181FF6"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538F0C1D"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31D09605"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2A17FD5B"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7FF1C725"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2F828"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2.17</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6FADC"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Balance of credit debt to non-residents (principal amount)/ Balance of credit debt (principal amount)</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2AC15"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5B905328"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4AD301D8"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1BFA8CEB"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75FCD7DA"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3A204489"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1C781"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2.18</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FA3D1"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Total assets / Total own funds</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C3776" w14:textId="77777777" w:rsidR="0095633E" w:rsidRPr="0072546F" w:rsidRDefault="0095633E" w:rsidP="008349EF">
            <w:pPr>
              <w:spacing w:line="240" w:lineRule="auto"/>
              <w:rPr>
                <w:rFonts w:ascii="Times New Roman" w:hAnsi="Times New Roman"/>
                <w:color w:val="000000"/>
                <w:lang w:val="en-GB"/>
              </w:rPr>
            </w:pPr>
          </w:p>
        </w:tc>
        <w:tc>
          <w:tcPr>
            <w:tcW w:w="604" w:type="pct"/>
            <w:tcBorders>
              <w:top w:val="single" w:sz="6" w:space="0" w:color="000000"/>
              <w:left w:val="single" w:sz="6" w:space="0" w:color="000000"/>
              <w:bottom w:val="single" w:sz="6" w:space="0" w:color="000000"/>
              <w:right w:val="single" w:sz="6" w:space="0" w:color="000000"/>
            </w:tcBorders>
          </w:tcPr>
          <w:p w14:paraId="1F2855A1" w14:textId="77777777" w:rsidR="0095633E" w:rsidRPr="0072546F" w:rsidRDefault="0095633E" w:rsidP="008349EF">
            <w:pPr>
              <w:spacing w:line="240" w:lineRule="auto"/>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6969B7F5" w14:textId="77777777" w:rsidR="0095633E" w:rsidRPr="0072546F" w:rsidRDefault="0095633E" w:rsidP="008349EF">
            <w:pPr>
              <w:spacing w:line="240" w:lineRule="auto"/>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17C3343B" w14:textId="77777777" w:rsidR="0095633E" w:rsidRPr="0072546F" w:rsidRDefault="0095633E" w:rsidP="008349EF">
            <w:pPr>
              <w:spacing w:line="240" w:lineRule="auto"/>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36B7896F" w14:textId="77777777" w:rsidR="0095633E" w:rsidRPr="0072546F" w:rsidRDefault="0095633E" w:rsidP="008349EF">
            <w:pPr>
              <w:spacing w:line="240" w:lineRule="auto"/>
              <w:rPr>
                <w:rFonts w:ascii="Times New Roman" w:hAnsi="Times New Roman"/>
                <w:color w:val="000000"/>
                <w:lang w:val="en-GB"/>
              </w:rPr>
            </w:pPr>
          </w:p>
        </w:tc>
      </w:tr>
      <w:tr w:rsidR="0095633E" w:rsidRPr="0072546F" w14:paraId="2F6C2B3A" w14:textId="77777777" w:rsidTr="008349EF">
        <w:trPr>
          <w:trHeight w:val="1442"/>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2141D"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2.19</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A55EF"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The sum of the first ten credit exposures / Total loan portfolio and conditional commitments, included in the calculation of the first ten credit exposures</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F6A8B"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63675A98"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0F0B5C0D"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41D7289A"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763D7987"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10611F98"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C31B39"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2.20</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F83AAA"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The value of the maximum exposure to a client or to a group of connected clients / Eligible capital</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EF673F"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3258AD69"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0F01609A"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42E3A40D"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321951BA"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36C1823E"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05C795"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2.21</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C69643"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 xml:space="preserve">The bank's exposures in Moldovan lei attached to the </w:t>
            </w:r>
            <w:r w:rsidRPr="0072546F">
              <w:rPr>
                <w:rFonts w:ascii="Times New Roman" w:hAnsi="Times New Roman"/>
                <w:color w:val="000000"/>
                <w:lang w:val="en-GB"/>
              </w:rPr>
              <w:lastRenderedPageBreak/>
              <w:t>exchange rate against individuals, including those engaged in entrepreneurial activity or other type of activity / Eligible capital</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7F8159"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lastRenderedPageBreak/>
              <w:t>%</w:t>
            </w:r>
          </w:p>
        </w:tc>
        <w:tc>
          <w:tcPr>
            <w:tcW w:w="604" w:type="pct"/>
            <w:tcBorders>
              <w:top w:val="single" w:sz="6" w:space="0" w:color="000000"/>
              <w:left w:val="single" w:sz="6" w:space="0" w:color="000000"/>
              <w:bottom w:val="single" w:sz="6" w:space="0" w:color="000000"/>
              <w:right w:val="single" w:sz="6" w:space="0" w:color="000000"/>
            </w:tcBorders>
          </w:tcPr>
          <w:p w14:paraId="14921AA9"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44158B74"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0993B49D"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0284ABDA"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0C97FE8E"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AE5945"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2.22</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A38742"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 xml:space="preserve">The sum of the aggregated amount of the bank's exposures, other than mortgages (after </w:t>
            </w:r>
            <w:proofErr w:type="gramStart"/>
            <w:r w:rsidRPr="0072546F">
              <w:rPr>
                <w:rFonts w:ascii="Times New Roman" w:hAnsi="Times New Roman"/>
                <w:color w:val="000000"/>
                <w:lang w:val="en-GB"/>
              </w:rPr>
              <w:t>taking into account</w:t>
            </w:r>
            <w:proofErr w:type="gramEnd"/>
            <w:r w:rsidRPr="0072546F">
              <w:rPr>
                <w:rFonts w:ascii="Times New Roman" w:hAnsi="Times New Roman"/>
                <w:color w:val="000000"/>
                <w:lang w:val="en-GB"/>
              </w:rPr>
              <w:t xml:space="preserve"> the credit risk mitigation effect) in Moldovan lei attached to the exchange rate against individuals, including those engaged in entrepreneurial activity or other type of activity / Eligible capital</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88A4A1"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2C206A10"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7291BCC7"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5C041DBF"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24F6012E"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0388AC58"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0D53F2"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2.23</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5A33E5"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 xml:space="preserve">The value of the maximum exposure of the bank to affiliated persons or a group of connected clients (after </w:t>
            </w:r>
            <w:proofErr w:type="gramStart"/>
            <w:r w:rsidRPr="0072546F">
              <w:rPr>
                <w:rFonts w:ascii="Times New Roman" w:hAnsi="Times New Roman"/>
                <w:color w:val="000000"/>
                <w:lang w:val="en-GB"/>
              </w:rPr>
              <w:t>taking into account</w:t>
            </w:r>
            <w:proofErr w:type="gramEnd"/>
            <w:r w:rsidRPr="0072546F">
              <w:rPr>
                <w:rFonts w:ascii="Times New Roman" w:hAnsi="Times New Roman"/>
                <w:color w:val="000000"/>
                <w:lang w:val="en-GB"/>
              </w:rPr>
              <w:t xml:space="preserve"> the credit risk mitigation effect) / Eligible capital</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85AEE2"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0692F403"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4EA7DDBF"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18F2CD3E"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35B889BB"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517E1E9A"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8648B"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2.24</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5E14B"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The value of the aggregated amount of bank exposures to affiliated persons or a group of connected clients with the bank affiliated persons / Eligible capital</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0C7F3"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2663769E"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50CA4DDC"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7C19CF2E"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052E04E3"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710F39F5"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68E53D"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2.25</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2F598F"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 xml:space="preserve">Total exposure of the </w:t>
            </w:r>
            <w:proofErr w:type="gramStart"/>
            <w:r w:rsidRPr="0072546F">
              <w:rPr>
                <w:rFonts w:ascii="Times New Roman" w:hAnsi="Times New Roman"/>
                <w:color w:val="000000"/>
                <w:lang w:val="en-GB"/>
              </w:rPr>
              <w:t>bank to bank</w:t>
            </w:r>
            <w:proofErr w:type="gramEnd"/>
            <w:r w:rsidRPr="0072546F">
              <w:rPr>
                <w:rFonts w:ascii="Times New Roman" w:hAnsi="Times New Roman"/>
                <w:color w:val="000000"/>
                <w:lang w:val="en-GB"/>
              </w:rPr>
              <w:t xml:space="preserve"> officials / Total own funds</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8B9B4A"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5ED145A4"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1D6983AA"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73ECD77D"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6013C23B"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401DBF0A"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F54C0"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2.26</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3478E"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Balance of credits debt (principal amount) / Balance of deposits (principal amount)</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CEB86" w14:textId="77777777" w:rsidR="0095633E" w:rsidRPr="0072546F" w:rsidRDefault="0095633E" w:rsidP="008349EF">
            <w:pPr>
              <w:spacing w:line="240" w:lineRule="auto"/>
              <w:rPr>
                <w:rFonts w:ascii="Times New Roman" w:hAnsi="Times New Roman"/>
                <w:color w:val="000000"/>
                <w:lang w:val="en-GB"/>
              </w:rPr>
            </w:pPr>
          </w:p>
        </w:tc>
        <w:tc>
          <w:tcPr>
            <w:tcW w:w="604" w:type="pct"/>
            <w:tcBorders>
              <w:top w:val="single" w:sz="6" w:space="0" w:color="000000"/>
              <w:left w:val="single" w:sz="6" w:space="0" w:color="000000"/>
              <w:bottom w:val="single" w:sz="6" w:space="0" w:color="000000"/>
              <w:right w:val="single" w:sz="6" w:space="0" w:color="000000"/>
            </w:tcBorders>
          </w:tcPr>
          <w:p w14:paraId="139464D3" w14:textId="77777777" w:rsidR="0095633E" w:rsidRPr="0072546F" w:rsidRDefault="0095633E" w:rsidP="008349EF">
            <w:pPr>
              <w:spacing w:line="240" w:lineRule="auto"/>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3EECB0C5" w14:textId="77777777" w:rsidR="0095633E" w:rsidRPr="0072546F" w:rsidRDefault="0095633E" w:rsidP="008349EF">
            <w:pPr>
              <w:spacing w:line="240" w:lineRule="auto"/>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19463F4C" w14:textId="77777777" w:rsidR="0095633E" w:rsidRPr="0072546F" w:rsidRDefault="0095633E" w:rsidP="008349EF">
            <w:pPr>
              <w:spacing w:line="240" w:lineRule="auto"/>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36F71642" w14:textId="77777777" w:rsidR="0095633E" w:rsidRPr="0072546F" w:rsidRDefault="0095633E" w:rsidP="008349EF">
            <w:pPr>
              <w:spacing w:line="240" w:lineRule="auto"/>
              <w:rPr>
                <w:rFonts w:ascii="Times New Roman" w:hAnsi="Times New Roman"/>
                <w:color w:val="000000"/>
                <w:lang w:val="en-GB"/>
              </w:rPr>
            </w:pPr>
          </w:p>
        </w:tc>
      </w:tr>
      <w:tr w:rsidR="0095633E" w:rsidRPr="0072546F" w14:paraId="10183453"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36AD09"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2.27</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991A45"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Total loans to small and medium-sized enterprises (SMEs)</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91A766"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MDL million</w:t>
            </w:r>
          </w:p>
        </w:tc>
        <w:tc>
          <w:tcPr>
            <w:tcW w:w="604" w:type="pct"/>
            <w:tcBorders>
              <w:top w:val="single" w:sz="6" w:space="0" w:color="000000"/>
              <w:left w:val="single" w:sz="6" w:space="0" w:color="000000"/>
              <w:bottom w:val="single" w:sz="6" w:space="0" w:color="000000"/>
              <w:right w:val="single" w:sz="6" w:space="0" w:color="000000"/>
            </w:tcBorders>
          </w:tcPr>
          <w:p w14:paraId="06CFE833"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710B8E9E"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636B3609"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2304F42D"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454A9514"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9BFCB1"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2.28</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39D00A"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Total non-performing credits to SMEs / Total credits to SMEs</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EF0340"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6A5C6C37"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76B05C22"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66CB829B"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285E50B2"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1A87ECA3"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606FE"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2.29</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7193C"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Tangible fixed assets / Total own funds</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00044"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5F771914"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7709EF13"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5325B1CC"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6822CFB9"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7D96BBD9"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8DE96D" w14:textId="77777777" w:rsidR="0095633E" w:rsidRPr="0072546F" w:rsidRDefault="0095633E" w:rsidP="008349EF">
            <w:pPr>
              <w:spacing w:line="240" w:lineRule="auto"/>
              <w:jc w:val="center"/>
              <w:rPr>
                <w:rFonts w:ascii="Times New Roman" w:hAnsi="Times New Roman"/>
                <w:b/>
                <w:color w:val="000000"/>
                <w:lang w:val="en-GB"/>
              </w:rPr>
            </w:pPr>
            <w:r w:rsidRPr="0072546F">
              <w:rPr>
                <w:rFonts w:ascii="Times New Roman" w:hAnsi="Times New Roman"/>
                <w:b/>
                <w:color w:val="000000"/>
                <w:lang w:val="en-GB"/>
              </w:rPr>
              <w:lastRenderedPageBreak/>
              <w:t>3</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40EDFD" w14:textId="77777777" w:rsidR="0095633E" w:rsidRPr="0072546F" w:rsidRDefault="0095633E" w:rsidP="008349EF">
            <w:pPr>
              <w:spacing w:line="240" w:lineRule="auto"/>
              <w:jc w:val="center"/>
              <w:rPr>
                <w:rFonts w:ascii="Times New Roman" w:hAnsi="Times New Roman"/>
                <w:b/>
                <w:color w:val="000000"/>
                <w:lang w:val="en-GB"/>
              </w:rPr>
            </w:pPr>
            <w:r w:rsidRPr="0072546F">
              <w:rPr>
                <w:rFonts w:ascii="Times New Roman" w:hAnsi="Times New Roman"/>
                <w:b/>
                <w:color w:val="000000"/>
                <w:lang w:val="en-GB"/>
              </w:rPr>
              <w:t>INCOME AND PROFITABILITY</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F6D242" w14:textId="77777777" w:rsidR="0095633E" w:rsidRPr="0072546F" w:rsidRDefault="0095633E" w:rsidP="008349EF">
            <w:pPr>
              <w:spacing w:line="240" w:lineRule="auto"/>
              <w:jc w:val="center"/>
              <w:rPr>
                <w:rFonts w:ascii="Times New Roman" w:hAnsi="Times New Roman"/>
                <w:color w:val="000000"/>
                <w:lang w:val="en-GB"/>
              </w:rPr>
            </w:pPr>
          </w:p>
        </w:tc>
        <w:tc>
          <w:tcPr>
            <w:tcW w:w="604" w:type="pct"/>
            <w:tcBorders>
              <w:top w:val="single" w:sz="6" w:space="0" w:color="000000"/>
              <w:left w:val="single" w:sz="6" w:space="0" w:color="000000"/>
              <w:bottom w:val="single" w:sz="6" w:space="0" w:color="000000"/>
              <w:right w:val="single" w:sz="6" w:space="0" w:color="000000"/>
            </w:tcBorders>
          </w:tcPr>
          <w:p w14:paraId="26ED1588"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705FB6EE"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22F9AEF7"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5FB9FFC9"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6EC8759C"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18160"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3.1</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CF800"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Return on assets (ROA)</w:t>
            </w:r>
            <w:r w:rsidRPr="0072546F">
              <w:rPr>
                <w:rFonts w:ascii="Times New Roman" w:hAnsi="Times New Roman"/>
                <w:color w:val="000000"/>
                <w:vertAlign w:val="superscript"/>
                <w:lang w:val="en-GB"/>
              </w:rPr>
              <w:t>8</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2CD59"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470CB5C2"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4DA5B8EE"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69B45A0D"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46EF8B86"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25639FBF"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4CB06"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3.2</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D67A5"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Return on equity (ROE)</w:t>
            </w:r>
            <w:r w:rsidRPr="0072546F">
              <w:rPr>
                <w:rFonts w:ascii="Times New Roman" w:hAnsi="Times New Roman"/>
                <w:color w:val="000000"/>
                <w:vertAlign w:val="superscript"/>
                <w:lang w:val="en-GB"/>
              </w:rPr>
              <w:t>9</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DDCD6"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498DEAEA"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6479DF82"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32806986"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035D17B8"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0C4C2FA6"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43B2C"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3.3</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F108E"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 xml:space="preserve">  Interest-related net income / Total income</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ADDF1"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34A155E5"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2C690909"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548C65C0"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29285B88"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1F055DDC"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CB278"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3.4</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78428"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 xml:space="preserve">Non-interest related expenditure / Total income </w:t>
            </w:r>
            <w:r w:rsidRPr="0072546F">
              <w:rPr>
                <w:rFonts w:ascii="Times New Roman" w:hAnsi="Times New Roman"/>
                <w:color w:val="000000"/>
                <w:vertAlign w:val="superscript"/>
                <w:lang w:val="en-GB"/>
              </w:rPr>
              <w:t>10</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5AED9"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7AD19D22"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56862D8B"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748E01A3"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06E1C9BF"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61B85E2E"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E809D"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3.5</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8C9A5"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 xml:space="preserve">Interest-related income / Monthly average interest-bearing assets </w:t>
            </w:r>
            <w:r w:rsidRPr="0072546F">
              <w:rPr>
                <w:rFonts w:ascii="Times New Roman" w:hAnsi="Times New Roman"/>
                <w:color w:val="000000"/>
                <w:vertAlign w:val="superscript"/>
                <w:lang w:val="en-GB"/>
              </w:rPr>
              <w:t>11</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CAB23"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4E6E42A5"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76FF8130"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430C190E"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422A096C"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4C73E4E8"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204C4"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3.6</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DCF48"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Net interest margin (NIM)</w:t>
            </w:r>
            <w:r w:rsidRPr="0072546F">
              <w:rPr>
                <w:rFonts w:ascii="Times New Roman" w:hAnsi="Times New Roman"/>
                <w:color w:val="000000"/>
                <w:vertAlign w:val="superscript"/>
                <w:lang w:val="en-GB"/>
              </w:rPr>
              <w:t>12</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5F591"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342A918B"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601E617A"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088E7950"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5CD0AC6E"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43B494CC"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1762B"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3.7</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F19F3"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Efficiency ratio (ER)</w:t>
            </w:r>
            <w:r w:rsidRPr="0072546F">
              <w:rPr>
                <w:rFonts w:ascii="Times New Roman" w:hAnsi="Times New Roman"/>
                <w:color w:val="000000"/>
                <w:vertAlign w:val="superscript"/>
                <w:lang w:val="en-GB"/>
              </w:rPr>
              <w:t>13</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36050"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16A29928"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76DA60EE"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32C57CA7"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5D4BE59D"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60E51AE6"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BD2B02" w14:textId="77777777" w:rsidR="0095633E" w:rsidRPr="0072546F" w:rsidRDefault="0095633E" w:rsidP="008349EF">
            <w:pPr>
              <w:spacing w:line="240" w:lineRule="auto"/>
              <w:jc w:val="center"/>
              <w:rPr>
                <w:rFonts w:ascii="Times New Roman" w:hAnsi="Times New Roman"/>
                <w:b/>
                <w:color w:val="000000"/>
                <w:lang w:val="en-GB"/>
              </w:rPr>
            </w:pPr>
            <w:r w:rsidRPr="0072546F">
              <w:rPr>
                <w:rFonts w:ascii="Times New Roman" w:hAnsi="Times New Roman"/>
                <w:b/>
                <w:color w:val="000000"/>
                <w:lang w:val="en-GB"/>
              </w:rPr>
              <w:t>4</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27977C" w14:textId="77777777" w:rsidR="0095633E" w:rsidRPr="0072546F" w:rsidRDefault="0095633E" w:rsidP="008349EF">
            <w:pPr>
              <w:spacing w:line="240" w:lineRule="auto"/>
              <w:jc w:val="center"/>
              <w:rPr>
                <w:rFonts w:ascii="Times New Roman" w:hAnsi="Times New Roman"/>
                <w:b/>
                <w:color w:val="000000"/>
                <w:lang w:val="en-GB"/>
              </w:rPr>
            </w:pPr>
            <w:r w:rsidRPr="0072546F">
              <w:rPr>
                <w:rFonts w:ascii="Times New Roman" w:hAnsi="Times New Roman"/>
                <w:b/>
                <w:color w:val="000000"/>
                <w:lang w:val="en-GB"/>
              </w:rPr>
              <w:t>LIQUIDITY</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EB4CE2" w14:textId="77777777" w:rsidR="0095633E" w:rsidRPr="0072546F" w:rsidRDefault="0095633E" w:rsidP="008349EF">
            <w:pPr>
              <w:spacing w:line="240" w:lineRule="auto"/>
              <w:jc w:val="center"/>
              <w:rPr>
                <w:rFonts w:ascii="Times New Roman" w:hAnsi="Times New Roman"/>
                <w:color w:val="000000"/>
                <w:lang w:val="en-GB"/>
              </w:rPr>
            </w:pPr>
          </w:p>
        </w:tc>
        <w:tc>
          <w:tcPr>
            <w:tcW w:w="604" w:type="pct"/>
            <w:tcBorders>
              <w:top w:val="single" w:sz="6" w:space="0" w:color="000000"/>
              <w:left w:val="single" w:sz="6" w:space="0" w:color="000000"/>
              <w:bottom w:val="single" w:sz="6" w:space="0" w:color="000000"/>
              <w:right w:val="single" w:sz="6" w:space="0" w:color="000000"/>
            </w:tcBorders>
          </w:tcPr>
          <w:p w14:paraId="3BF16CF8"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37EE2B1B"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46F86973"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42F234EC"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20460147" w14:textId="77777777" w:rsidTr="008349EF">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45C93D" w14:textId="77777777" w:rsidR="0095633E" w:rsidRPr="00635AED" w:rsidRDefault="0095633E" w:rsidP="008349EF">
            <w:pPr>
              <w:spacing w:after="0" w:line="240" w:lineRule="auto"/>
              <w:jc w:val="both"/>
              <w:rPr>
                <w:rFonts w:ascii="Times New Roman" w:eastAsia="Times New Roman" w:hAnsi="Times New Roman"/>
                <w:i/>
                <w:iCs/>
                <w:color w:val="663300"/>
                <w:sz w:val="20"/>
                <w:szCs w:val="20"/>
                <w:lang w:eastAsia="ro-MD"/>
              </w:rPr>
            </w:pPr>
            <w:r w:rsidRPr="0095633E">
              <w:rPr>
                <w:rFonts w:ascii="Times New Roman" w:hAnsi="Times New Roman"/>
                <w:i/>
                <w:iCs/>
                <w:color w:val="BF8F00"/>
                <w:sz w:val="20"/>
                <w:szCs w:val="20"/>
              </w:rPr>
              <w:t>[Rows 4.1-4.11 repealed by NBM Decision No. 329 of 19.12.2024, effective from 01.07.2025]</w:t>
            </w:r>
          </w:p>
        </w:tc>
      </w:tr>
      <w:tr w:rsidR="0095633E" w:rsidRPr="0072546F" w14:paraId="15886BF8"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ABCBA6" w14:textId="77777777" w:rsidR="0095633E" w:rsidRPr="0072546F" w:rsidRDefault="0095633E" w:rsidP="008349EF">
            <w:pPr>
              <w:spacing w:line="240" w:lineRule="auto"/>
              <w:jc w:val="center"/>
              <w:rPr>
                <w:rFonts w:ascii="Times New Roman" w:hAnsi="Times New Roman"/>
                <w:color w:val="000000"/>
                <w:lang w:val="en-GB"/>
              </w:rPr>
            </w:pPr>
            <w:r w:rsidRPr="005C2726">
              <w:rPr>
                <w:rFonts w:ascii="Times New Roman" w:eastAsia="Times New Roman" w:hAnsi="Times New Roman"/>
                <w:lang w:eastAsia="ro-MD"/>
              </w:rPr>
              <w:t>4.1</w:t>
            </w:r>
            <w:r w:rsidRPr="005C2726">
              <w:rPr>
                <w:rFonts w:ascii="Times New Roman" w:eastAsia="Times New Roman" w:hAnsi="Times New Roman"/>
                <w:vertAlign w:val="superscript"/>
                <w:lang w:eastAsia="ro-MD"/>
              </w:rPr>
              <w:t>1</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B06464" w14:textId="77777777" w:rsidR="0095633E" w:rsidRPr="0072546F" w:rsidRDefault="0095633E" w:rsidP="008349EF">
            <w:pPr>
              <w:spacing w:line="240" w:lineRule="auto"/>
              <w:rPr>
                <w:rFonts w:ascii="Times New Roman" w:hAnsi="Times New Roman"/>
                <w:color w:val="000000"/>
                <w:lang w:val="it-CH"/>
              </w:rPr>
            </w:pPr>
            <w:r w:rsidRPr="0072546F">
              <w:rPr>
                <w:rFonts w:ascii="Times New Roman" w:hAnsi="Times New Roman"/>
                <w:lang w:eastAsia="ro-MD"/>
              </w:rPr>
              <w:t>Liquidity coverage ratio 14¹</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0815EF" w14:textId="77777777" w:rsidR="0095633E" w:rsidRPr="0072546F" w:rsidRDefault="0095633E" w:rsidP="008349EF">
            <w:pPr>
              <w:spacing w:line="240" w:lineRule="auto"/>
              <w:jc w:val="center"/>
              <w:rPr>
                <w:rFonts w:ascii="Times New Roman" w:hAnsi="Times New Roman"/>
                <w:color w:val="000000"/>
                <w:lang w:val="it-CH"/>
              </w:rPr>
            </w:pPr>
          </w:p>
        </w:tc>
        <w:tc>
          <w:tcPr>
            <w:tcW w:w="604" w:type="pct"/>
            <w:tcBorders>
              <w:top w:val="single" w:sz="6" w:space="0" w:color="000000"/>
              <w:left w:val="single" w:sz="6" w:space="0" w:color="000000"/>
              <w:bottom w:val="single" w:sz="6" w:space="0" w:color="000000"/>
              <w:right w:val="single" w:sz="6" w:space="0" w:color="000000"/>
            </w:tcBorders>
          </w:tcPr>
          <w:p w14:paraId="6C3E6835" w14:textId="77777777" w:rsidR="0095633E" w:rsidRPr="0072546F" w:rsidRDefault="0095633E" w:rsidP="008349EF">
            <w:pPr>
              <w:spacing w:line="240" w:lineRule="auto"/>
              <w:jc w:val="center"/>
              <w:rPr>
                <w:rFonts w:ascii="Times New Roman" w:hAnsi="Times New Roman"/>
                <w:color w:val="000000"/>
                <w:lang w:val="it-CH"/>
              </w:rPr>
            </w:pPr>
          </w:p>
        </w:tc>
        <w:tc>
          <w:tcPr>
            <w:tcW w:w="751" w:type="pct"/>
            <w:tcBorders>
              <w:top w:val="single" w:sz="6" w:space="0" w:color="000000"/>
              <w:left w:val="single" w:sz="6" w:space="0" w:color="000000"/>
              <w:bottom w:val="single" w:sz="6" w:space="0" w:color="000000"/>
              <w:right w:val="single" w:sz="6" w:space="0" w:color="000000"/>
            </w:tcBorders>
          </w:tcPr>
          <w:p w14:paraId="3130B928" w14:textId="77777777" w:rsidR="0095633E" w:rsidRPr="0072546F" w:rsidRDefault="0095633E" w:rsidP="008349EF">
            <w:pPr>
              <w:spacing w:line="240" w:lineRule="auto"/>
              <w:jc w:val="center"/>
              <w:rPr>
                <w:rFonts w:ascii="Times New Roman" w:hAnsi="Times New Roman"/>
                <w:color w:val="000000"/>
                <w:lang w:val="it-CH"/>
              </w:rPr>
            </w:pPr>
          </w:p>
        </w:tc>
        <w:tc>
          <w:tcPr>
            <w:tcW w:w="702" w:type="pct"/>
            <w:tcBorders>
              <w:top w:val="single" w:sz="6" w:space="0" w:color="000000"/>
              <w:left w:val="single" w:sz="6" w:space="0" w:color="000000"/>
              <w:bottom w:val="single" w:sz="6" w:space="0" w:color="000000"/>
              <w:right w:val="single" w:sz="6" w:space="0" w:color="000000"/>
            </w:tcBorders>
          </w:tcPr>
          <w:p w14:paraId="353C0FC5" w14:textId="77777777" w:rsidR="0095633E" w:rsidRPr="0072546F" w:rsidRDefault="0095633E" w:rsidP="008349EF">
            <w:pPr>
              <w:spacing w:line="240" w:lineRule="auto"/>
              <w:jc w:val="center"/>
              <w:rPr>
                <w:rFonts w:ascii="Times New Roman" w:hAnsi="Times New Roman"/>
                <w:color w:val="000000"/>
                <w:lang w:val="it-CH"/>
              </w:rPr>
            </w:pPr>
          </w:p>
        </w:tc>
        <w:tc>
          <w:tcPr>
            <w:tcW w:w="507" w:type="pct"/>
            <w:tcBorders>
              <w:top w:val="single" w:sz="6" w:space="0" w:color="000000"/>
              <w:left w:val="single" w:sz="6" w:space="0" w:color="000000"/>
              <w:bottom w:val="single" w:sz="6" w:space="0" w:color="000000"/>
              <w:right w:val="single" w:sz="6" w:space="0" w:color="000000"/>
            </w:tcBorders>
          </w:tcPr>
          <w:p w14:paraId="5C35C30B" w14:textId="77777777" w:rsidR="0095633E" w:rsidRPr="0072546F" w:rsidRDefault="0095633E" w:rsidP="008349EF">
            <w:pPr>
              <w:spacing w:line="240" w:lineRule="auto"/>
              <w:jc w:val="center"/>
              <w:rPr>
                <w:rFonts w:ascii="Times New Roman" w:hAnsi="Times New Roman"/>
                <w:color w:val="000000"/>
                <w:lang w:val="it-CH"/>
              </w:rPr>
            </w:pPr>
          </w:p>
        </w:tc>
      </w:tr>
      <w:tr w:rsidR="0095633E" w:rsidRPr="0072546F" w14:paraId="313A106F"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A2BCF2" w14:textId="77777777" w:rsidR="0095633E" w:rsidRPr="0072546F" w:rsidRDefault="0095633E" w:rsidP="008349EF">
            <w:pPr>
              <w:spacing w:line="240" w:lineRule="auto"/>
              <w:jc w:val="center"/>
              <w:rPr>
                <w:rFonts w:ascii="Times New Roman" w:hAnsi="Times New Roman"/>
                <w:color w:val="000000"/>
                <w:lang w:val="en-GB"/>
              </w:rPr>
            </w:pPr>
            <w:r w:rsidRPr="005C2726">
              <w:rPr>
                <w:rFonts w:ascii="Times New Roman" w:eastAsia="Times New Roman" w:hAnsi="Times New Roman"/>
                <w:lang w:eastAsia="ro-MD"/>
              </w:rPr>
              <w:t>4.1.1</w:t>
            </w:r>
            <w:r w:rsidRPr="005C2726">
              <w:rPr>
                <w:rFonts w:ascii="Times New Roman" w:eastAsia="Times New Roman" w:hAnsi="Times New Roman"/>
                <w:vertAlign w:val="superscript"/>
                <w:lang w:eastAsia="ro-MD"/>
              </w:rPr>
              <w:t>1</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375E10" w14:textId="77777777" w:rsidR="0095633E" w:rsidRPr="0072546F" w:rsidRDefault="0095633E" w:rsidP="008349EF">
            <w:pPr>
              <w:spacing w:line="240" w:lineRule="auto"/>
              <w:rPr>
                <w:rFonts w:ascii="Times New Roman" w:hAnsi="Times New Roman"/>
                <w:color w:val="000000"/>
              </w:rPr>
            </w:pPr>
            <w:r w:rsidRPr="0072546F">
              <w:rPr>
                <w:rFonts w:ascii="Times New Roman" w:hAnsi="Times New Roman"/>
                <w:lang w:eastAsia="ro-MD"/>
              </w:rPr>
              <w:t xml:space="preserve">Total high quality liquid </w:t>
            </w:r>
            <w:proofErr w:type="gramStart"/>
            <w:r w:rsidRPr="0072546F">
              <w:rPr>
                <w:rFonts w:ascii="Times New Roman" w:hAnsi="Times New Roman"/>
                <w:lang w:eastAsia="ro-MD"/>
              </w:rPr>
              <w:t>assets  (</w:t>
            </w:r>
            <w:proofErr w:type="gramEnd"/>
            <w:r w:rsidRPr="0072546F">
              <w:rPr>
                <w:rFonts w:ascii="Times New Roman" w:hAnsi="Times New Roman"/>
                <w:lang w:eastAsia="ro-MD"/>
              </w:rPr>
              <w:t>HQLA) (average weighted value)</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2076F7" w14:textId="77777777" w:rsidR="0095633E" w:rsidRPr="0072546F" w:rsidRDefault="0095633E" w:rsidP="008349EF">
            <w:pPr>
              <w:spacing w:line="240" w:lineRule="auto"/>
              <w:jc w:val="center"/>
              <w:rPr>
                <w:rFonts w:ascii="Times New Roman" w:hAnsi="Times New Roman"/>
                <w:color w:val="000000"/>
                <w:lang w:val="it-CH"/>
              </w:rPr>
            </w:pPr>
            <w:r w:rsidRPr="0072546F">
              <w:rPr>
                <w:rFonts w:ascii="Times New Roman" w:hAnsi="Times New Roman"/>
                <w:color w:val="000000"/>
                <w:lang w:val="en-GB"/>
              </w:rPr>
              <w:t>MDL million</w:t>
            </w:r>
          </w:p>
        </w:tc>
        <w:tc>
          <w:tcPr>
            <w:tcW w:w="604" w:type="pct"/>
            <w:tcBorders>
              <w:top w:val="single" w:sz="6" w:space="0" w:color="000000"/>
              <w:left w:val="single" w:sz="6" w:space="0" w:color="000000"/>
              <w:bottom w:val="single" w:sz="6" w:space="0" w:color="000000"/>
              <w:right w:val="single" w:sz="6" w:space="0" w:color="000000"/>
            </w:tcBorders>
          </w:tcPr>
          <w:p w14:paraId="32808B77" w14:textId="77777777" w:rsidR="0095633E" w:rsidRPr="0072546F" w:rsidRDefault="0095633E" w:rsidP="008349EF">
            <w:pPr>
              <w:spacing w:line="240" w:lineRule="auto"/>
              <w:jc w:val="center"/>
              <w:rPr>
                <w:rFonts w:ascii="Times New Roman" w:hAnsi="Times New Roman"/>
                <w:color w:val="000000"/>
                <w:lang w:val="it-CH"/>
              </w:rPr>
            </w:pPr>
          </w:p>
        </w:tc>
        <w:tc>
          <w:tcPr>
            <w:tcW w:w="751" w:type="pct"/>
            <w:tcBorders>
              <w:top w:val="single" w:sz="6" w:space="0" w:color="000000"/>
              <w:left w:val="single" w:sz="6" w:space="0" w:color="000000"/>
              <w:bottom w:val="single" w:sz="6" w:space="0" w:color="000000"/>
              <w:right w:val="single" w:sz="6" w:space="0" w:color="000000"/>
            </w:tcBorders>
          </w:tcPr>
          <w:p w14:paraId="087334BF" w14:textId="77777777" w:rsidR="0095633E" w:rsidRPr="0072546F" w:rsidRDefault="0095633E" w:rsidP="008349EF">
            <w:pPr>
              <w:spacing w:line="240" w:lineRule="auto"/>
              <w:jc w:val="center"/>
              <w:rPr>
                <w:rFonts w:ascii="Times New Roman" w:hAnsi="Times New Roman"/>
                <w:color w:val="000000"/>
                <w:lang w:val="it-CH"/>
              </w:rPr>
            </w:pPr>
          </w:p>
        </w:tc>
        <w:tc>
          <w:tcPr>
            <w:tcW w:w="702" w:type="pct"/>
            <w:tcBorders>
              <w:top w:val="single" w:sz="6" w:space="0" w:color="000000"/>
              <w:left w:val="single" w:sz="6" w:space="0" w:color="000000"/>
              <w:bottom w:val="single" w:sz="6" w:space="0" w:color="000000"/>
              <w:right w:val="single" w:sz="6" w:space="0" w:color="000000"/>
            </w:tcBorders>
          </w:tcPr>
          <w:p w14:paraId="46BB25B4" w14:textId="77777777" w:rsidR="0095633E" w:rsidRPr="0072546F" w:rsidRDefault="0095633E" w:rsidP="008349EF">
            <w:pPr>
              <w:spacing w:line="240" w:lineRule="auto"/>
              <w:jc w:val="center"/>
              <w:rPr>
                <w:rFonts w:ascii="Times New Roman" w:hAnsi="Times New Roman"/>
                <w:color w:val="000000"/>
                <w:lang w:val="it-CH"/>
              </w:rPr>
            </w:pPr>
          </w:p>
        </w:tc>
        <w:tc>
          <w:tcPr>
            <w:tcW w:w="507" w:type="pct"/>
            <w:tcBorders>
              <w:top w:val="single" w:sz="6" w:space="0" w:color="000000"/>
              <w:left w:val="single" w:sz="6" w:space="0" w:color="000000"/>
              <w:bottom w:val="single" w:sz="6" w:space="0" w:color="000000"/>
              <w:right w:val="single" w:sz="6" w:space="0" w:color="000000"/>
            </w:tcBorders>
          </w:tcPr>
          <w:p w14:paraId="14A24B93" w14:textId="77777777" w:rsidR="0095633E" w:rsidRPr="0072546F" w:rsidRDefault="0095633E" w:rsidP="008349EF">
            <w:pPr>
              <w:spacing w:line="240" w:lineRule="auto"/>
              <w:jc w:val="center"/>
              <w:rPr>
                <w:rFonts w:ascii="Times New Roman" w:hAnsi="Times New Roman"/>
                <w:color w:val="000000"/>
                <w:lang w:val="it-CH"/>
              </w:rPr>
            </w:pPr>
          </w:p>
        </w:tc>
      </w:tr>
      <w:tr w:rsidR="0095633E" w:rsidRPr="0072546F" w14:paraId="11C9F427"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95377C" w14:textId="77777777" w:rsidR="0095633E" w:rsidRPr="0072546F" w:rsidRDefault="0095633E" w:rsidP="008349EF">
            <w:pPr>
              <w:spacing w:line="240" w:lineRule="auto"/>
              <w:jc w:val="center"/>
              <w:rPr>
                <w:rFonts w:ascii="Times New Roman" w:hAnsi="Times New Roman"/>
                <w:color w:val="000000"/>
                <w:lang w:val="en-GB"/>
              </w:rPr>
            </w:pPr>
            <w:r w:rsidRPr="005C2726">
              <w:rPr>
                <w:rFonts w:ascii="Times New Roman" w:eastAsia="Times New Roman" w:hAnsi="Times New Roman"/>
                <w:lang w:eastAsia="ro-MD"/>
              </w:rPr>
              <w:t>4.1.2</w:t>
            </w:r>
            <w:r w:rsidRPr="005C2726">
              <w:rPr>
                <w:rFonts w:ascii="Times New Roman" w:eastAsia="Times New Roman" w:hAnsi="Times New Roman"/>
                <w:vertAlign w:val="superscript"/>
                <w:lang w:eastAsia="ro-MD"/>
              </w:rPr>
              <w:t>1</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7E5CA0" w14:textId="77777777" w:rsidR="0095633E" w:rsidRPr="0072546F" w:rsidRDefault="0095633E" w:rsidP="008349EF">
            <w:pPr>
              <w:spacing w:line="240" w:lineRule="auto"/>
              <w:rPr>
                <w:rFonts w:ascii="Times New Roman" w:hAnsi="Times New Roman"/>
                <w:color w:val="000000"/>
              </w:rPr>
            </w:pPr>
            <w:r w:rsidRPr="0072546F">
              <w:rPr>
                <w:rFonts w:ascii="Times New Roman" w:hAnsi="Times New Roman"/>
                <w:lang w:eastAsia="ro-MD"/>
              </w:rPr>
              <w:t>Cash outflows – Total weighted value</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B43206" w14:textId="77777777" w:rsidR="0095633E" w:rsidRPr="0072546F" w:rsidRDefault="0095633E" w:rsidP="008349EF">
            <w:pPr>
              <w:spacing w:line="240" w:lineRule="auto"/>
              <w:jc w:val="center"/>
              <w:rPr>
                <w:rFonts w:ascii="Times New Roman" w:hAnsi="Times New Roman"/>
                <w:color w:val="000000"/>
                <w:lang w:val="it-CH"/>
              </w:rPr>
            </w:pPr>
            <w:r w:rsidRPr="0072546F">
              <w:rPr>
                <w:rFonts w:ascii="Times New Roman" w:hAnsi="Times New Roman"/>
                <w:color w:val="000000"/>
                <w:lang w:val="en-GB"/>
              </w:rPr>
              <w:t>MDL million</w:t>
            </w:r>
          </w:p>
        </w:tc>
        <w:tc>
          <w:tcPr>
            <w:tcW w:w="604" w:type="pct"/>
            <w:tcBorders>
              <w:top w:val="single" w:sz="6" w:space="0" w:color="000000"/>
              <w:left w:val="single" w:sz="6" w:space="0" w:color="000000"/>
              <w:bottom w:val="single" w:sz="6" w:space="0" w:color="000000"/>
              <w:right w:val="single" w:sz="6" w:space="0" w:color="000000"/>
            </w:tcBorders>
          </w:tcPr>
          <w:p w14:paraId="33F01075" w14:textId="77777777" w:rsidR="0095633E" w:rsidRPr="0072546F" w:rsidRDefault="0095633E" w:rsidP="008349EF">
            <w:pPr>
              <w:spacing w:line="240" w:lineRule="auto"/>
              <w:jc w:val="center"/>
              <w:rPr>
                <w:rFonts w:ascii="Times New Roman" w:hAnsi="Times New Roman"/>
                <w:color w:val="000000"/>
                <w:lang w:val="it-CH"/>
              </w:rPr>
            </w:pPr>
          </w:p>
        </w:tc>
        <w:tc>
          <w:tcPr>
            <w:tcW w:w="751" w:type="pct"/>
            <w:tcBorders>
              <w:top w:val="single" w:sz="6" w:space="0" w:color="000000"/>
              <w:left w:val="single" w:sz="6" w:space="0" w:color="000000"/>
              <w:bottom w:val="single" w:sz="6" w:space="0" w:color="000000"/>
              <w:right w:val="single" w:sz="6" w:space="0" w:color="000000"/>
            </w:tcBorders>
          </w:tcPr>
          <w:p w14:paraId="1BB43126" w14:textId="77777777" w:rsidR="0095633E" w:rsidRPr="0072546F" w:rsidRDefault="0095633E" w:rsidP="008349EF">
            <w:pPr>
              <w:spacing w:line="240" w:lineRule="auto"/>
              <w:jc w:val="center"/>
              <w:rPr>
                <w:rFonts w:ascii="Times New Roman" w:hAnsi="Times New Roman"/>
                <w:color w:val="000000"/>
                <w:lang w:val="it-CH"/>
              </w:rPr>
            </w:pPr>
          </w:p>
        </w:tc>
        <w:tc>
          <w:tcPr>
            <w:tcW w:w="702" w:type="pct"/>
            <w:tcBorders>
              <w:top w:val="single" w:sz="6" w:space="0" w:color="000000"/>
              <w:left w:val="single" w:sz="6" w:space="0" w:color="000000"/>
              <w:bottom w:val="single" w:sz="6" w:space="0" w:color="000000"/>
              <w:right w:val="single" w:sz="6" w:space="0" w:color="000000"/>
            </w:tcBorders>
          </w:tcPr>
          <w:p w14:paraId="6ACE2DB5" w14:textId="77777777" w:rsidR="0095633E" w:rsidRPr="0072546F" w:rsidRDefault="0095633E" w:rsidP="008349EF">
            <w:pPr>
              <w:spacing w:line="240" w:lineRule="auto"/>
              <w:jc w:val="center"/>
              <w:rPr>
                <w:rFonts w:ascii="Times New Roman" w:hAnsi="Times New Roman"/>
                <w:color w:val="000000"/>
                <w:lang w:val="it-CH"/>
              </w:rPr>
            </w:pPr>
          </w:p>
        </w:tc>
        <w:tc>
          <w:tcPr>
            <w:tcW w:w="507" w:type="pct"/>
            <w:tcBorders>
              <w:top w:val="single" w:sz="6" w:space="0" w:color="000000"/>
              <w:left w:val="single" w:sz="6" w:space="0" w:color="000000"/>
              <w:bottom w:val="single" w:sz="6" w:space="0" w:color="000000"/>
              <w:right w:val="single" w:sz="6" w:space="0" w:color="000000"/>
            </w:tcBorders>
          </w:tcPr>
          <w:p w14:paraId="02BC6DB9" w14:textId="77777777" w:rsidR="0095633E" w:rsidRPr="0072546F" w:rsidRDefault="0095633E" w:rsidP="008349EF">
            <w:pPr>
              <w:spacing w:line="240" w:lineRule="auto"/>
              <w:jc w:val="center"/>
              <w:rPr>
                <w:rFonts w:ascii="Times New Roman" w:hAnsi="Times New Roman"/>
                <w:color w:val="000000"/>
                <w:lang w:val="it-CH"/>
              </w:rPr>
            </w:pPr>
          </w:p>
        </w:tc>
      </w:tr>
      <w:tr w:rsidR="0095633E" w:rsidRPr="0072546F" w14:paraId="12B36236"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A83A84" w14:textId="77777777" w:rsidR="0095633E" w:rsidRPr="0072546F" w:rsidRDefault="0095633E" w:rsidP="008349EF">
            <w:pPr>
              <w:spacing w:line="240" w:lineRule="auto"/>
              <w:jc w:val="center"/>
              <w:rPr>
                <w:rFonts w:ascii="Times New Roman" w:hAnsi="Times New Roman"/>
                <w:color w:val="000000"/>
                <w:lang w:val="en-GB"/>
              </w:rPr>
            </w:pPr>
            <w:r w:rsidRPr="005C2726">
              <w:rPr>
                <w:rFonts w:ascii="Times New Roman" w:eastAsia="Times New Roman" w:hAnsi="Times New Roman"/>
                <w:lang w:eastAsia="ro-MD"/>
              </w:rPr>
              <w:t>4.1.3</w:t>
            </w:r>
            <w:r w:rsidRPr="005C2726">
              <w:rPr>
                <w:rFonts w:ascii="Times New Roman" w:eastAsia="Times New Roman" w:hAnsi="Times New Roman"/>
                <w:vertAlign w:val="superscript"/>
                <w:lang w:eastAsia="ro-MD"/>
              </w:rPr>
              <w:t>1</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D982DD" w14:textId="77777777" w:rsidR="0095633E" w:rsidRPr="0072546F" w:rsidRDefault="0095633E" w:rsidP="008349EF">
            <w:pPr>
              <w:spacing w:line="240" w:lineRule="auto"/>
              <w:rPr>
                <w:rFonts w:ascii="Times New Roman" w:hAnsi="Times New Roman"/>
                <w:color w:val="000000"/>
              </w:rPr>
            </w:pPr>
            <w:r w:rsidRPr="0072546F">
              <w:rPr>
                <w:rFonts w:ascii="Times New Roman" w:hAnsi="Times New Roman"/>
                <w:lang w:eastAsia="ro-MD"/>
              </w:rPr>
              <w:t>Cash inflows – Total weighted value</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7E38DE" w14:textId="77777777" w:rsidR="0095633E" w:rsidRPr="0072546F" w:rsidRDefault="0095633E" w:rsidP="008349EF">
            <w:pPr>
              <w:spacing w:line="240" w:lineRule="auto"/>
              <w:jc w:val="center"/>
              <w:rPr>
                <w:rFonts w:ascii="Times New Roman" w:hAnsi="Times New Roman"/>
                <w:color w:val="000000"/>
                <w:lang w:val="it-CH"/>
              </w:rPr>
            </w:pPr>
            <w:r w:rsidRPr="0072546F">
              <w:rPr>
                <w:rFonts w:ascii="Times New Roman" w:hAnsi="Times New Roman"/>
                <w:color w:val="000000"/>
                <w:lang w:val="en-GB"/>
              </w:rPr>
              <w:t>MDL million</w:t>
            </w:r>
          </w:p>
        </w:tc>
        <w:tc>
          <w:tcPr>
            <w:tcW w:w="604" w:type="pct"/>
            <w:tcBorders>
              <w:top w:val="single" w:sz="6" w:space="0" w:color="000000"/>
              <w:left w:val="single" w:sz="6" w:space="0" w:color="000000"/>
              <w:bottom w:val="single" w:sz="6" w:space="0" w:color="000000"/>
              <w:right w:val="single" w:sz="6" w:space="0" w:color="000000"/>
            </w:tcBorders>
          </w:tcPr>
          <w:p w14:paraId="13587BA9" w14:textId="77777777" w:rsidR="0095633E" w:rsidRPr="0072546F" w:rsidRDefault="0095633E" w:rsidP="008349EF">
            <w:pPr>
              <w:spacing w:line="240" w:lineRule="auto"/>
              <w:jc w:val="center"/>
              <w:rPr>
                <w:rFonts w:ascii="Times New Roman" w:hAnsi="Times New Roman"/>
                <w:color w:val="000000"/>
                <w:lang w:val="it-CH"/>
              </w:rPr>
            </w:pPr>
          </w:p>
        </w:tc>
        <w:tc>
          <w:tcPr>
            <w:tcW w:w="751" w:type="pct"/>
            <w:tcBorders>
              <w:top w:val="single" w:sz="6" w:space="0" w:color="000000"/>
              <w:left w:val="single" w:sz="6" w:space="0" w:color="000000"/>
              <w:bottom w:val="single" w:sz="6" w:space="0" w:color="000000"/>
              <w:right w:val="single" w:sz="6" w:space="0" w:color="000000"/>
            </w:tcBorders>
          </w:tcPr>
          <w:p w14:paraId="448CC229" w14:textId="77777777" w:rsidR="0095633E" w:rsidRPr="0072546F" w:rsidRDefault="0095633E" w:rsidP="008349EF">
            <w:pPr>
              <w:spacing w:line="240" w:lineRule="auto"/>
              <w:jc w:val="center"/>
              <w:rPr>
                <w:rFonts w:ascii="Times New Roman" w:hAnsi="Times New Roman"/>
                <w:color w:val="000000"/>
                <w:lang w:val="it-CH"/>
              </w:rPr>
            </w:pPr>
          </w:p>
        </w:tc>
        <w:tc>
          <w:tcPr>
            <w:tcW w:w="702" w:type="pct"/>
            <w:tcBorders>
              <w:top w:val="single" w:sz="6" w:space="0" w:color="000000"/>
              <w:left w:val="single" w:sz="6" w:space="0" w:color="000000"/>
              <w:bottom w:val="single" w:sz="6" w:space="0" w:color="000000"/>
              <w:right w:val="single" w:sz="6" w:space="0" w:color="000000"/>
            </w:tcBorders>
          </w:tcPr>
          <w:p w14:paraId="67016879" w14:textId="77777777" w:rsidR="0095633E" w:rsidRPr="0072546F" w:rsidRDefault="0095633E" w:rsidP="008349EF">
            <w:pPr>
              <w:spacing w:line="240" w:lineRule="auto"/>
              <w:jc w:val="center"/>
              <w:rPr>
                <w:rFonts w:ascii="Times New Roman" w:hAnsi="Times New Roman"/>
                <w:color w:val="000000"/>
                <w:lang w:val="it-CH"/>
              </w:rPr>
            </w:pPr>
          </w:p>
        </w:tc>
        <w:tc>
          <w:tcPr>
            <w:tcW w:w="507" w:type="pct"/>
            <w:tcBorders>
              <w:top w:val="single" w:sz="6" w:space="0" w:color="000000"/>
              <w:left w:val="single" w:sz="6" w:space="0" w:color="000000"/>
              <w:bottom w:val="single" w:sz="6" w:space="0" w:color="000000"/>
              <w:right w:val="single" w:sz="6" w:space="0" w:color="000000"/>
            </w:tcBorders>
          </w:tcPr>
          <w:p w14:paraId="3C11D208" w14:textId="77777777" w:rsidR="0095633E" w:rsidRPr="0072546F" w:rsidRDefault="0095633E" w:rsidP="008349EF">
            <w:pPr>
              <w:spacing w:line="240" w:lineRule="auto"/>
              <w:jc w:val="center"/>
              <w:rPr>
                <w:rFonts w:ascii="Times New Roman" w:hAnsi="Times New Roman"/>
                <w:color w:val="000000"/>
                <w:lang w:val="it-CH"/>
              </w:rPr>
            </w:pPr>
          </w:p>
        </w:tc>
      </w:tr>
      <w:tr w:rsidR="0095633E" w:rsidRPr="0072546F" w14:paraId="5AF1D19D"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CB7B47" w14:textId="77777777" w:rsidR="0095633E" w:rsidRPr="0072546F" w:rsidRDefault="0095633E" w:rsidP="008349EF">
            <w:pPr>
              <w:spacing w:line="240" w:lineRule="auto"/>
              <w:jc w:val="center"/>
              <w:rPr>
                <w:rFonts w:ascii="Times New Roman" w:hAnsi="Times New Roman"/>
                <w:color w:val="000000"/>
                <w:lang w:val="en-GB"/>
              </w:rPr>
            </w:pPr>
            <w:r w:rsidRPr="005C2726">
              <w:rPr>
                <w:rFonts w:ascii="Times New Roman" w:eastAsia="Times New Roman" w:hAnsi="Times New Roman"/>
                <w:lang w:eastAsia="ro-MD"/>
              </w:rPr>
              <w:t>4.1.4</w:t>
            </w:r>
            <w:r w:rsidRPr="005C2726">
              <w:rPr>
                <w:rFonts w:ascii="Times New Roman" w:eastAsia="Times New Roman" w:hAnsi="Times New Roman"/>
                <w:vertAlign w:val="superscript"/>
                <w:lang w:eastAsia="ro-MD"/>
              </w:rPr>
              <w:t>1</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44F51C" w14:textId="77777777" w:rsidR="0095633E" w:rsidRPr="0072546F" w:rsidRDefault="0095633E" w:rsidP="008349EF">
            <w:pPr>
              <w:spacing w:line="240" w:lineRule="auto"/>
              <w:rPr>
                <w:rFonts w:ascii="Times New Roman" w:hAnsi="Times New Roman"/>
                <w:color w:val="000000"/>
              </w:rPr>
            </w:pPr>
            <w:r w:rsidRPr="0072546F">
              <w:rPr>
                <w:rFonts w:ascii="Times New Roman" w:hAnsi="Times New Roman"/>
                <w:lang w:eastAsia="ro-MD"/>
              </w:rPr>
              <w:t>Total net cash outflows (adjusted value)</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7C145B" w14:textId="77777777" w:rsidR="0095633E" w:rsidRPr="0072546F" w:rsidRDefault="0095633E" w:rsidP="008349EF">
            <w:pPr>
              <w:spacing w:line="240" w:lineRule="auto"/>
              <w:jc w:val="center"/>
              <w:rPr>
                <w:rFonts w:ascii="Times New Roman" w:hAnsi="Times New Roman"/>
                <w:color w:val="000000"/>
                <w:lang w:val="it-CH"/>
              </w:rPr>
            </w:pPr>
            <w:r w:rsidRPr="0072546F">
              <w:rPr>
                <w:rFonts w:ascii="Times New Roman" w:hAnsi="Times New Roman"/>
                <w:color w:val="000000"/>
                <w:lang w:val="en-GB"/>
              </w:rPr>
              <w:t>MDL million</w:t>
            </w:r>
          </w:p>
        </w:tc>
        <w:tc>
          <w:tcPr>
            <w:tcW w:w="604" w:type="pct"/>
            <w:tcBorders>
              <w:top w:val="single" w:sz="6" w:space="0" w:color="000000"/>
              <w:left w:val="single" w:sz="6" w:space="0" w:color="000000"/>
              <w:bottom w:val="single" w:sz="6" w:space="0" w:color="000000"/>
              <w:right w:val="single" w:sz="6" w:space="0" w:color="000000"/>
            </w:tcBorders>
          </w:tcPr>
          <w:p w14:paraId="2225B117" w14:textId="77777777" w:rsidR="0095633E" w:rsidRPr="0072546F" w:rsidRDefault="0095633E" w:rsidP="008349EF">
            <w:pPr>
              <w:spacing w:line="240" w:lineRule="auto"/>
              <w:jc w:val="center"/>
              <w:rPr>
                <w:rFonts w:ascii="Times New Roman" w:hAnsi="Times New Roman"/>
                <w:color w:val="000000"/>
                <w:lang w:val="it-CH"/>
              </w:rPr>
            </w:pPr>
          </w:p>
        </w:tc>
        <w:tc>
          <w:tcPr>
            <w:tcW w:w="751" w:type="pct"/>
            <w:tcBorders>
              <w:top w:val="single" w:sz="6" w:space="0" w:color="000000"/>
              <w:left w:val="single" w:sz="6" w:space="0" w:color="000000"/>
              <w:bottom w:val="single" w:sz="6" w:space="0" w:color="000000"/>
              <w:right w:val="single" w:sz="6" w:space="0" w:color="000000"/>
            </w:tcBorders>
          </w:tcPr>
          <w:p w14:paraId="1B078484" w14:textId="77777777" w:rsidR="0095633E" w:rsidRPr="0072546F" w:rsidRDefault="0095633E" w:rsidP="008349EF">
            <w:pPr>
              <w:spacing w:line="240" w:lineRule="auto"/>
              <w:jc w:val="center"/>
              <w:rPr>
                <w:rFonts w:ascii="Times New Roman" w:hAnsi="Times New Roman"/>
                <w:color w:val="000000"/>
                <w:lang w:val="it-CH"/>
              </w:rPr>
            </w:pPr>
          </w:p>
        </w:tc>
        <w:tc>
          <w:tcPr>
            <w:tcW w:w="702" w:type="pct"/>
            <w:tcBorders>
              <w:top w:val="single" w:sz="6" w:space="0" w:color="000000"/>
              <w:left w:val="single" w:sz="6" w:space="0" w:color="000000"/>
              <w:bottom w:val="single" w:sz="6" w:space="0" w:color="000000"/>
              <w:right w:val="single" w:sz="6" w:space="0" w:color="000000"/>
            </w:tcBorders>
          </w:tcPr>
          <w:p w14:paraId="0A738889" w14:textId="77777777" w:rsidR="0095633E" w:rsidRPr="0072546F" w:rsidRDefault="0095633E" w:rsidP="008349EF">
            <w:pPr>
              <w:spacing w:line="240" w:lineRule="auto"/>
              <w:jc w:val="center"/>
              <w:rPr>
                <w:rFonts w:ascii="Times New Roman" w:hAnsi="Times New Roman"/>
                <w:color w:val="000000"/>
                <w:lang w:val="it-CH"/>
              </w:rPr>
            </w:pPr>
          </w:p>
        </w:tc>
        <w:tc>
          <w:tcPr>
            <w:tcW w:w="507" w:type="pct"/>
            <w:tcBorders>
              <w:top w:val="single" w:sz="6" w:space="0" w:color="000000"/>
              <w:left w:val="single" w:sz="6" w:space="0" w:color="000000"/>
              <w:bottom w:val="single" w:sz="6" w:space="0" w:color="000000"/>
              <w:right w:val="single" w:sz="6" w:space="0" w:color="000000"/>
            </w:tcBorders>
          </w:tcPr>
          <w:p w14:paraId="0D499550" w14:textId="77777777" w:rsidR="0095633E" w:rsidRPr="0072546F" w:rsidRDefault="0095633E" w:rsidP="008349EF">
            <w:pPr>
              <w:spacing w:line="240" w:lineRule="auto"/>
              <w:jc w:val="center"/>
              <w:rPr>
                <w:rFonts w:ascii="Times New Roman" w:hAnsi="Times New Roman"/>
                <w:color w:val="000000"/>
                <w:lang w:val="it-CH"/>
              </w:rPr>
            </w:pPr>
          </w:p>
        </w:tc>
      </w:tr>
      <w:tr w:rsidR="0095633E" w:rsidRPr="0072546F" w14:paraId="5042E203"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034CAE" w14:textId="77777777" w:rsidR="0095633E" w:rsidRPr="0072546F" w:rsidRDefault="0095633E" w:rsidP="008349EF">
            <w:pPr>
              <w:spacing w:line="240" w:lineRule="auto"/>
              <w:jc w:val="center"/>
              <w:rPr>
                <w:rFonts w:ascii="Times New Roman" w:hAnsi="Times New Roman"/>
                <w:color w:val="000000"/>
                <w:lang w:val="en-GB"/>
              </w:rPr>
            </w:pPr>
            <w:r w:rsidRPr="005C2726">
              <w:rPr>
                <w:rFonts w:ascii="Times New Roman" w:eastAsia="Times New Roman" w:hAnsi="Times New Roman"/>
                <w:lang w:eastAsia="ro-MD"/>
              </w:rPr>
              <w:t>4.1.5</w:t>
            </w:r>
            <w:r w:rsidRPr="005C2726">
              <w:rPr>
                <w:rFonts w:ascii="Times New Roman" w:eastAsia="Times New Roman" w:hAnsi="Times New Roman"/>
                <w:vertAlign w:val="superscript"/>
                <w:lang w:eastAsia="ro-MD"/>
              </w:rPr>
              <w:t>1</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A15E1E" w14:textId="77777777" w:rsidR="0095633E" w:rsidRPr="0072546F" w:rsidRDefault="0095633E" w:rsidP="008349EF">
            <w:pPr>
              <w:spacing w:line="240" w:lineRule="auto"/>
              <w:rPr>
                <w:rFonts w:ascii="Times New Roman" w:hAnsi="Times New Roman"/>
                <w:color w:val="000000"/>
                <w:lang w:val="it-CH"/>
              </w:rPr>
            </w:pPr>
            <w:r w:rsidRPr="0072546F">
              <w:rPr>
                <w:rFonts w:ascii="Times New Roman" w:hAnsi="Times New Roman"/>
                <w:lang w:val="it-IT" w:eastAsia="ro-MD"/>
              </w:rPr>
              <w:t>Liquidity coverage ratio (LCR)</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A47380" w14:textId="77777777" w:rsidR="0095633E" w:rsidRPr="0072546F" w:rsidRDefault="0095633E" w:rsidP="008349EF">
            <w:pPr>
              <w:spacing w:line="240" w:lineRule="auto"/>
              <w:jc w:val="center"/>
              <w:rPr>
                <w:rFonts w:ascii="Times New Roman" w:hAnsi="Times New Roman"/>
                <w:color w:val="000000"/>
                <w:lang w:val="it-CH"/>
              </w:rPr>
            </w:pPr>
            <w:r w:rsidRPr="0072546F">
              <w:rPr>
                <w:rFonts w:ascii="Times New Roman" w:hAnsi="Times New Roman"/>
                <w:lang w:val="it-IT" w:eastAsia="ro-MD"/>
              </w:rPr>
              <w:t>%</w:t>
            </w:r>
          </w:p>
        </w:tc>
        <w:tc>
          <w:tcPr>
            <w:tcW w:w="604" w:type="pct"/>
            <w:tcBorders>
              <w:top w:val="single" w:sz="6" w:space="0" w:color="000000"/>
              <w:left w:val="single" w:sz="6" w:space="0" w:color="000000"/>
              <w:bottom w:val="single" w:sz="6" w:space="0" w:color="000000"/>
              <w:right w:val="single" w:sz="6" w:space="0" w:color="000000"/>
            </w:tcBorders>
          </w:tcPr>
          <w:p w14:paraId="17EFBDBC" w14:textId="77777777" w:rsidR="0095633E" w:rsidRPr="0072546F" w:rsidRDefault="0095633E" w:rsidP="008349EF">
            <w:pPr>
              <w:spacing w:line="240" w:lineRule="auto"/>
              <w:jc w:val="center"/>
              <w:rPr>
                <w:rFonts w:ascii="Times New Roman" w:hAnsi="Times New Roman"/>
                <w:color w:val="000000"/>
                <w:lang w:val="it-CH"/>
              </w:rPr>
            </w:pPr>
          </w:p>
        </w:tc>
        <w:tc>
          <w:tcPr>
            <w:tcW w:w="751" w:type="pct"/>
            <w:tcBorders>
              <w:top w:val="single" w:sz="6" w:space="0" w:color="000000"/>
              <w:left w:val="single" w:sz="6" w:space="0" w:color="000000"/>
              <w:bottom w:val="single" w:sz="6" w:space="0" w:color="000000"/>
              <w:right w:val="single" w:sz="6" w:space="0" w:color="000000"/>
            </w:tcBorders>
          </w:tcPr>
          <w:p w14:paraId="634E8CAB" w14:textId="77777777" w:rsidR="0095633E" w:rsidRPr="0072546F" w:rsidRDefault="0095633E" w:rsidP="008349EF">
            <w:pPr>
              <w:spacing w:line="240" w:lineRule="auto"/>
              <w:jc w:val="center"/>
              <w:rPr>
                <w:rFonts w:ascii="Times New Roman" w:hAnsi="Times New Roman"/>
                <w:color w:val="000000"/>
                <w:lang w:val="it-CH"/>
              </w:rPr>
            </w:pPr>
          </w:p>
        </w:tc>
        <w:tc>
          <w:tcPr>
            <w:tcW w:w="702" w:type="pct"/>
            <w:tcBorders>
              <w:top w:val="single" w:sz="6" w:space="0" w:color="000000"/>
              <w:left w:val="single" w:sz="6" w:space="0" w:color="000000"/>
              <w:bottom w:val="single" w:sz="6" w:space="0" w:color="000000"/>
              <w:right w:val="single" w:sz="6" w:space="0" w:color="000000"/>
            </w:tcBorders>
          </w:tcPr>
          <w:p w14:paraId="57775EE0" w14:textId="77777777" w:rsidR="0095633E" w:rsidRPr="0072546F" w:rsidRDefault="0095633E" w:rsidP="008349EF">
            <w:pPr>
              <w:spacing w:line="240" w:lineRule="auto"/>
              <w:jc w:val="center"/>
              <w:rPr>
                <w:rFonts w:ascii="Times New Roman" w:hAnsi="Times New Roman"/>
                <w:color w:val="000000"/>
                <w:lang w:val="it-CH"/>
              </w:rPr>
            </w:pPr>
          </w:p>
        </w:tc>
        <w:tc>
          <w:tcPr>
            <w:tcW w:w="507" w:type="pct"/>
            <w:tcBorders>
              <w:top w:val="single" w:sz="6" w:space="0" w:color="000000"/>
              <w:left w:val="single" w:sz="6" w:space="0" w:color="000000"/>
              <w:bottom w:val="single" w:sz="6" w:space="0" w:color="000000"/>
              <w:right w:val="single" w:sz="6" w:space="0" w:color="000000"/>
            </w:tcBorders>
          </w:tcPr>
          <w:p w14:paraId="197FA0A7" w14:textId="77777777" w:rsidR="0095633E" w:rsidRPr="0072546F" w:rsidRDefault="0095633E" w:rsidP="008349EF">
            <w:pPr>
              <w:spacing w:line="240" w:lineRule="auto"/>
              <w:jc w:val="center"/>
              <w:rPr>
                <w:rFonts w:ascii="Times New Roman" w:hAnsi="Times New Roman"/>
                <w:color w:val="000000"/>
                <w:lang w:val="it-CH"/>
              </w:rPr>
            </w:pPr>
          </w:p>
        </w:tc>
      </w:tr>
      <w:tr w:rsidR="0095633E" w:rsidRPr="0072546F" w14:paraId="26BD45D6"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E56189" w14:textId="77777777" w:rsidR="0095633E" w:rsidRPr="0072546F" w:rsidRDefault="0095633E" w:rsidP="008349EF">
            <w:pPr>
              <w:spacing w:line="240" w:lineRule="auto"/>
              <w:jc w:val="center"/>
              <w:rPr>
                <w:rFonts w:ascii="Times New Roman" w:hAnsi="Times New Roman"/>
                <w:color w:val="000000"/>
                <w:lang w:val="en-GB"/>
              </w:rPr>
            </w:pPr>
            <w:r w:rsidRPr="005C2726">
              <w:rPr>
                <w:rFonts w:ascii="Times New Roman" w:eastAsia="Times New Roman" w:hAnsi="Times New Roman"/>
                <w:lang w:eastAsia="ro-MD"/>
              </w:rPr>
              <w:t>4.2</w:t>
            </w:r>
            <w:r w:rsidRPr="005C2726">
              <w:rPr>
                <w:rFonts w:ascii="Times New Roman" w:eastAsia="Times New Roman" w:hAnsi="Times New Roman"/>
                <w:vertAlign w:val="superscript"/>
                <w:lang w:eastAsia="ro-MD"/>
              </w:rPr>
              <w:t>1</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DB9371" w14:textId="77777777" w:rsidR="0095633E" w:rsidRPr="0072546F" w:rsidRDefault="0095633E" w:rsidP="008349EF">
            <w:pPr>
              <w:spacing w:line="240" w:lineRule="auto"/>
              <w:rPr>
                <w:rFonts w:ascii="Times New Roman" w:hAnsi="Times New Roman"/>
                <w:color w:val="000000"/>
                <w:lang w:val="it-CH"/>
              </w:rPr>
            </w:pPr>
            <w:r w:rsidRPr="0072546F">
              <w:rPr>
                <w:rFonts w:ascii="Times New Roman" w:hAnsi="Times New Roman"/>
                <w:lang w:eastAsia="ro-MD"/>
              </w:rPr>
              <w:t>Net stable funding ratio14</w:t>
            </w:r>
            <w:r w:rsidRPr="0072546F">
              <w:rPr>
                <w:rFonts w:ascii="Times New Roman" w:hAnsi="Times New Roman"/>
                <w:vertAlign w:val="superscript"/>
                <w:lang w:eastAsia="ro-MD"/>
              </w:rPr>
              <w:t>2</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B44B9E" w14:textId="77777777" w:rsidR="0095633E" w:rsidRPr="0072546F" w:rsidRDefault="0095633E" w:rsidP="008349EF">
            <w:pPr>
              <w:spacing w:line="240" w:lineRule="auto"/>
              <w:jc w:val="center"/>
              <w:rPr>
                <w:rFonts w:ascii="Times New Roman" w:hAnsi="Times New Roman"/>
                <w:color w:val="000000"/>
                <w:lang w:val="it-CH"/>
              </w:rPr>
            </w:pPr>
          </w:p>
        </w:tc>
        <w:tc>
          <w:tcPr>
            <w:tcW w:w="604" w:type="pct"/>
            <w:tcBorders>
              <w:top w:val="single" w:sz="6" w:space="0" w:color="000000"/>
              <w:left w:val="single" w:sz="6" w:space="0" w:color="000000"/>
              <w:bottom w:val="single" w:sz="6" w:space="0" w:color="000000"/>
              <w:right w:val="single" w:sz="6" w:space="0" w:color="000000"/>
            </w:tcBorders>
          </w:tcPr>
          <w:p w14:paraId="13C59FBA" w14:textId="77777777" w:rsidR="0095633E" w:rsidRPr="0072546F" w:rsidRDefault="0095633E" w:rsidP="008349EF">
            <w:pPr>
              <w:spacing w:line="240" w:lineRule="auto"/>
              <w:jc w:val="center"/>
              <w:rPr>
                <w:rFonts w:ascii="Times New Roman" w:hAnsi="Times New Roman"/>
                <w:color w:val="000000"/>
                <w:lang w:val="it-CH"/>
              </w:rPr>
            </w:pPr>
          </w:p>
        </w:tc>
        <w:tc>
          <w:tcPr>
            <w:tcW w:w="751" w:type="pct"/>
            <w:tcBorders>
              <w:top w:val="single" w:sz="6" w:space="0" w:color="000000"/>
              <w:left w:val="single" w:sz="6" w:space="0" w:color="000000"/>
              <w:bottom w:val="single" w:sz="6" w:space="0" w:color="000000"/>
              <w:right w:val="single" w:sz="6" w:space="0" w:color="000000"/>
            </w:tcBorders>
          </w:tcPr>
          <w:p w14:paraId="1F8D664F" w14:textId="77777777" w:rsidR="0095633E" w:rsidRPr="0072546F" w:rsidRDefault="0095633E" w:rsidP="008349EF">
            <w:pPr>
              <w:spacing w:line="240" w:lineRule="auto"/>
              <w:jc w:val="center"/>
              <w:rPr>
                <w:rFonts w:ascii="Times New Roman" w:hAnsi="Times New Roman"/>
                <w:color w:val="000000"/>
                <w:lang w:val="it-CH"/>
              </w:rPr>
            </w:pPr>
          </w:p>
        </w:tc>
        <w:tc>
          <w:tcPr>
            <w:tcW w:w="702" w:type="pct"/>
            <w:tcBorders>
              <w:top w:val="single" w:sz="6" w:space="0" w:color="000000"/>
              <w:left w:val="single" w:sz="6" w:space="0" w:color="000000"/>
              <w:bottom w:val="single" w:sz="6" w:space="0" w:color="000000"/>
              <w:right w:val="single" w:sz="6" w:space="0" w:color="000000"/>
            </w:tcBorders>
          </w:tcPr>
          <w:p w14:paraId="0E9A9FF9" w14:textId="77777777" w:rsidR="0095633E" w:rsidRPr="0072546F" w:rsidRDefault="0095633E" w:rsidP="008349EF">
            <w:pPr>
              <w:spacing w:line="240" w:lineRule="auto"/>
              <w:jc w:val="center"/>
              <w:rPr>
                <w:rFonts w:ascii="Times New Roman" w:hAnsi="Times New Roman"/>
                <w:color w:val="000000"/>
                <w:lang w:val="it-CH"/>
              </w:rPr>
            </w:pPr>
          </w:p>
        </w:tc>
        <w:tc>
          <w:tcPr>
            <w:tcW w:w="507" w:type="pct"/>
            <w:tcBorders>
              <w:top w:val="single" w:sz="6" w:space="0" w:color="000000"/>
              <w:left w:val="single" w:sz="6" w:space="0" w:color="000000"/>
              <w:bottom w:val="single" w:sz="6" w:space="0" w:color="000000"/>
              <w:right w:val="single" w:sz="6" w:space="0" w:color="000000"/>
            </w:tcBorders>
          </w:tcPr>
          <w:p w14:paraId="5CF7BA91" w14:textId="77777777" w:rsidR="0095633E" w:rsidRPr="0072546F" w:rsidRDefault="0095633E" w:rsidP="008349EF">
            <w:pPr>
              <w:spacing w:line="240" w:lineRule="auto"/>
              <w:jc w:val="center"/>
              <w:rPr>
                <w:rFonts w:ascii="Times New Roman" w:hAnsi="Times New Roman"/>
                <w:color w:val="000000"/>
                <w:lang w:val="it-CH"/>
              </w:rPr>
            </w:pPr>
          </w:p>
        </w:tc>
      </w:tr>
      <w:tr w:rsidR="0095633E" w:rsidRPr="0072546F" w14:paraId="0B1294F0"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2CF191" w14:textId="77777777" w:rsidR="0095633E" w:rsidRPr="0072546F" w:rsidRDefault="0095633E" w:rsidP="008349EF">
            <w:pPr>
              <w:spacing w:line="240" w:lineRule="auto"/>
              <w:jc w:val="center"/>
              <w:rPr>
                <w:rFonts w:ascii="Times New Roman" w:hAnsi="Times New Roman"/>
                <w:color w:val="000000"/>
                <w:lang w:val="en-GB"/>
              </w:rPr>
            </w:pPr>
            <w:r w:rsidRPr="005C2726">
              <w:rPr>
                <w:rFonts w:ascii="Times New Roman" w:eastAsia="Times New Roman" w:hAnsi="Times New Roman"/>
                <w:lang w:eastAsia="ro-MD"/>
              </w:rPr>
              <w:t>4.2.1</w:t>
            </w:r>
            <w:r w:rsidRPr="005C2726">
              <w:rPr>
                <w:rFonts w:ascii="Times New Roman" w:eastAsia="Times New Roman" w:hAnsi="Times New Roman"/>
                <w:vertAlign w:val="superscript"/>
                <w:lang w:eastAsia="ro-MD"/>
              </w:rPr>
              <w:t>1</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3C24D0"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lang w:eastAsia="ro-MD"/>
              </w:rPr>
              <w:t xml:space="preserve">Total available stable funding </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5D10F0"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MDL million</w:t>
            </w:r>
          </w:p>
        </w:tc>
        <w:tc>
          <w:tcPr>
            <w:tcW w:w="604" w:type="pct"/>
            <w:tcBorders>
              <w:top w:val="single" w:sz="6" w:space="0" w:color="000000"/>
              <w:left w:val="single" w:sz="6" w:space="0" w:color="000000"/>
              <w:bottom w:val="single" w:sz="6" w:space="0" w:color="000000"/>
              <w:right w:val="single" w:sz="6" w:space="0" w:color="000000"/>
            </w:tcBorders>
          </w:tcPr>
          <w:p w14:paraId="205F84B5"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0B72CC1B"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4E0CCBB3"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5BEF6C17"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1CAF3581"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E861D9" w14:textId="77777777" w:rsidR="0095633E" w:rsidRPr="0072546F" w:rsidRDefault="0095633E" w:rsidP="008349EF">
            <w:pPr>
              <w:spacing w:line="240" w:lineRule="auto"/>
              <w:jc w:val="center"/>
              <w:rPr>
                <w:rFonts w:ascii="Times New Roman" w:hAnsi="Times New Roman"/>
                <w:color w:val="000000"/>
                <w:lang w:val="en-GB"/>
              </w:rPr>
            </w:pPr>
            <w:r w:rsidRPr="005C2726">
              <w:rPr>
                <w:rFonts w:ascii="Times New Roman" w:eastAsia="Times New Roman" w:hAnsi="Times New Roman"/>
                <w:lang w:eastAsia="ro-MD"/>
              </w:rPr>
              <w:t>4.2.2</w:t>
            </w:r>
            <w:r w:rsidRPr="005C2726">
              <w:rPr>
                <w:rFonts w:ascii="Times New Roman" w:eastAsia="Times New Roman" w:hAnsi="Times New Roman"/>
                <w:vertAlign w:val="superscript"/>
                <w:lang w:eastAsia="ro-MD"/>
              </w:rPr>
              <w:t>1</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FEB78C"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lang w:eastAsia="ro-MD"/>
              </w:rPr>
              <w:t>Total required stable funding</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D4370C"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MDL million</w:t>
            </w:r>
          </w:p>
        </w:tc>
        <w:tc>
          <w:tcPr>
            <w:tcW w:w="604" w:type="pct"/>
            <w:tcBorders>
              <w:top w:val="single" w:sz="6" w:space="0" w:color="000000"/>
              <w:left w:val="single" w:sz="6" w:space="0" w:color="000000"/>
              <w:bottom w:val="single" w:sz="6" w:space="0" w:color="000000"/>
              <w:right w:val="single" w:sz="6" w:space="0" w:color="000000"/>
            </w:tcBorders>
          </w:tcPr>
          <w:p w14:paraId="5550A23F"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116D3164"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250C8F63"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6DE59C6F"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0A57EBDA"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A44DFD" w14:textId="77777777" w:rsidR="0095633E" w:rsidRPr="0072546F" w:rsidRDefault="0095633E" w:rsidP="008349EF">
            <w:pPr>
              <w:spacing w:line="240" w:lineRule="auto"/>
              <w:jc w:val="center"/>
              <w:rPr>
                <w:rFonts w:ascii="Times New Roman" w:hAnsi="Times New Roman"/>
                <w:color w:val="000000"/>
                <w:lang w:val="en-GB"/>
              </w:rPr>
            </w:pPr>
            <w:r w:rsidRPr="005C2726">
              <w:rPr>
                <w:rFonts w:ascii="Times New Roman" w:eastAsia="Times New Roman" w:hAnsi="Times New Roman"/>
                <w:lang w:eastAsia="ro-MD"/>
              </w:rPr>
              <w:t>4.2.3</w:t>
            </w:r>
            <w:r w:rsidRPr="005C2726">
              <w:rPr>
                <w:rFonts w:ascii="Times New Roman" w:eastAsia="Times New Roman" w:hAnsi="Times New Roman"/>
                <w:vertAlign w:val="superscript"/>
                <w:lang w:eastAsia="ro-MD"/>
              </w:rPr>
              <w:t>1</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509843" w14:textId="77777777" w:rsidR="0095633E" w:rsidRPr="0072546F" w:rsidRDefault="0095633E" w:rsidP="008349EF">
            <w:pPr>
              <w:spacing w:line="240" w:lineRule="auto"/>
              <w:rPr>
                <w:rFonts w:ascii="Times New Roman" w:hAnsi="Times New Roman"/>
                <w:color w:val="000000"/>
              </w:rPr>
            </w:pPr>
            <w:r w:rsidRPr="0072546F">
              <w:rPr>
                <w:rFonts w:ascii="Times New Roman" w:hAnsi="Times New Roman"/>
                <w:lang w:eastAsia="ro-MD"/>
              </w:rPr>
              <w:t>Net stable funding ratio (NSFR)</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EE0268" w14:textId="77777777" w:rsidR="0095633E" w:rsidRPr="0072546F" w:rsidRDefault="0095633E" w:rsidP="008349EF">
            <w:pPr>
              <w:spacing w:line="240" w:lineRule="auto"/>
              <w:jc w:val="center"/>
              <w:rPr>
                <w:rFonts w:ascii="Times New Roman" w:hAnsi="Times New Roman"/>
                <w:color w:val="000000"/>
                <w:lang w:val="it-CH"/>
              </w:rPr>
            </w:pPr>
            <w:r w:rsidRPr="0072546F">
              <w:rPr>
                <w:rFonts w:ascii="Times New Roman" w:hAnsi="Times New Roman"/>
                <w:lang w:eastAsia="ro-MD"/>
              </w:rPr>
              <w:t>%</w:t>
            </w:r>
          </w:p>
        </w:tc>
        <w:tc>
          <w:tcPr>
            <w:tcW w:w="604" w:type="pct"/>
            <w:tcBorders>
              <w:top w:val="single" w:sz="6" w:space="0" w:color="000000"/>
              <w:left w:val="single" w:sz="6" w:space="0" w:color="000000"/>
              <w:bottom w:val="single" w:sz="6" w:space="0" w:color="000000"/>
              <w:right w:val="single" w:sz="6" w:space="0" w:color="000000"/>
            </w:tcBorders>
          </w:tcPr>
          <w:p w14:paraId="2DDF0EDF" w14:textId="77777777" w:rsidR="0095633E" w:rsidRPr="0072546F" w:rsidRDefault="0095633E" w:rsidP="008349EF">
            <w:pPr>
              <w:spacing w:line="240" w:lineRule="auto"/>
              <w:jc w:val="center"/>
              <w:rPr>
                <w:rFonts w:ascii="Times New Roman" w:hAnsi="Times New Roman"/>
                <w:color w:val="000000"/>
                <w:lang w:val="it-CH"/>
              </w:rPr>
            </w:pPr>
          </w:p>
        </w:tc>
        <w:tc>
          <w:tcPr>
            <w:tcW w:w="751" w:type="pct"/>
            <w:tcBorders>
              <w:top w:val="single" w:sz="6" w:space="0" w:color="000000"/>
              <w:left w:val="single" w:sz="6" w:space="0" w:color="000000"/>
              <w:bottom w:val="single" w:sz="6" w:space="0" w:color="000000"/>
              <w:right w:val="single" w:sz="6" w:space="0" w:color="000000"/>
            </w:tcBorders>
          </w:tcPr>
          <w:p w14:paraId="614A589A" w14:textId="77777777" w:rsidR="0095633E" w:rsidRPr="0072546F" w:rsidRDefault="0095633E" w:rsidP="008349EF">
            <w:pPr>
              <w:spacing w:line="240" w:lineRule="auto"/>
              <w:jc w:val="center"/>
              <w:rPr>
                <w:rFonts w:ascii="Times New Roman" w:hAnsi="Times New Roman"/>
                <w:color w:val="000000"/>
                <w:lang w:val="it-CH"/>
              </w:rPr>
            </w:pPr>
          </w:p>
        </w:tc>
        <w:tc>
          <w:tcPr>
            <w:tcW w:w="702" w:type="pct"/>
            <w:tcBorders>
              <w:top w:val="single" w:sz="6" w:space="0" w:color="000000"/>
              <w:left w:val="single" w:sz="6" w:space="0" w:color="000000"/>
              <w:bottom w:val="single" w:sz="6" w:space="0" w:color="000000"/>
              <w:right w:val="single" w:sz="6" w:space="0" w:color="000000"/>
            </w:tcBorders>
          </w:tcPr>
          <w:p w14:paraId="7C35F2BE" w14:textId="77777777" w:rsidR="0095633E" w:rsidRPr="0072546F" w:rsidRDefault="0095633E" w:rsidP="008349EF">
            <w:pPr>
              <w:spacing w:line="240" w:lineRule="auto"/>
              <w:jc w:val="center"/>
              <w:rPr>
                <w:rFonts w:ascii="Times New Roman" w:hAnsi="Times New Roman"/>
                <w:color w:val="000000"/>
                <w:lang w:val="it-CH"/>
              </w:rPr>
            </w:pPr>
          </w:p>
        </w:tc>
        <w:tc>
          <w:tcPr>
            <w:tcW w:w="507" w:type="pct"/>
            <w:tcBorders>
              <w:top w:val="single" w:sz="6" w:space="0" w:color="000000"/>
              <w:left w:val="single" w:sz="6" w:space="0" w:color="000000"/>
              <w:bottom w:val="single" w:sz="6" w:space="0" w:color="000000"/>
              <w:right w:val="single" w:sz="6" w:space="0" w:color="000000"/>
            </w:tcBorders>
          </w:tcPr>
          <w:p w14:paraId="3CAE6B52" w14:textId="77777777" w:rsidR="0095633E" w:rsidRPr="0072546F" w:rsidRDefault="0095633E" w:rsidP="008349EF">
            <w:pPr>
              <w:spacing w:line="240" w:lineRule="auto"/>
              <w:jc w:val="center"/>
              <w:rPr>
                <w:rFonts w:ascii="Times New Roman" w:hAnsi="Times New Roman"/>
                <w:color w:val="000000"/>
                <w:lang w:val="it-CH"/>
              </w:rPr>
            </w:pPr>
          </w:p>
        </w:tc>
      </w:tr>
      <w:tr w:rsidR="0095633E" w:rsidRPr="0072546F" w14:paraId="2C446124"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FFD379" w14:textId="77777777" w:rsidR="0095633E" w:rsidRPr="0072546F" w:rsidRDefault="0095633E" w:rsidP="008349EF">
            <w:pPr>
              <w:spacing w:line="240" w:lineRule="auto"/>
              <w:jc w:val="center"/>
              <w:rPr>
                <w:rFonts w:ascii="Times New Roman" w:hAnsi="Times New Roman"/>
                <w:b/>
                <w:color w:val="000000"/>
                <w:lang w:val="en-GB"/>
              </w:rPr>
            </w:pPr>
            <w:r w:rsidRPr="0072546F">
              <w:rPr>
                <w:rFonts w:ascii="Times New Roman" w:hAnsi="Times New Roman"/>
                <w:b/>
                <w:color w:val="000000"/>
                <w:lang w:val="en-GB"/>
              </w:rPr>
              <w:t>5</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60BB86" w14:textId="77777777" w:rsidR="0095633E" w:rsidRPr="0072546F" w:rsidRDefault="0095633E" w:rsidP="008349EF">
            <w:pPr>
              <w:spacing w:line="240" w:lineRule="auto"/>
              <w:jc w:val="center"/>
              <w:rPr>
                <w:rFonts w:ascii="Times New Roman" w:hAnsi="Times New Roman"/>
                <w:b/>
                <w:color w:val="000000"/>
                <w:lang w:val="en-GB"/>
              </w:rPr>
            </w:pPr>
            <w:r w:rsidRPr="0072546F">
              <w:rPr>
                <w:rFonts w:ascii="Times New Roman" w:hAnsi="Times New Roman"/>
                <w:b/>
                <w:color w:val="000000"/>
                <w:lang w:val="en-GB"/>
              </w:rPr>
              <w:t>SENSITIVITY OF MARKET RISK</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06D31B" w14:textId="77777777" w:rsidR="0095633E" w:rsidRPr="0072546F" w:rsidRDefault="0095633E" w:rsidP="008349EF">
            <w:pPr>
              <w:spacing w:line="240" w:lineRule="auto"/>
              <w:rPr>
                <w:rFonts w:ascii="Times New Roman" w:hAnsi="Times New Roman"/>
                <w:color w:val="000000"/>
                <w:lang w:val="en-GB"/>
              </w:rPr>
            </w:pPr>
          </w:p>
        </w:tc>
        <w:tc>
          <w:tcPr>
            <w:tcW w:w="604" w:type="pct"/>
            <w:tcBorders>
              <w:top w:val="single" w:sz="6" w:space="0" w:color="000000"/>
              <w:left w:val="single" w:sz="6" w:space="0" w:color="000000"/>
              <w:bottom w:val="single" w:sz="6" w:space="0" w:color="000000"/>
              <w:right w:val="single" w:sz="6" w:space="0" w:color="000000"/>
            </w:tcBorders>
          </w:tcPr>
          <w:p w14:paraId="58DD7AF7" w14:textId="77777777" w:rsidR="0095633E" w:rsidRPr="0072546F" w:rsidRDefault="0095633E" w:rsidP="008349EF">
            <w:pPr>
              <w:spacing w:line="240" w:lineRule="auto"/>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43C32C7F" w14:textId="77777777" w:rsidR="0095633E" w:rsidRPr="0072546F" w:rsidRDefault="0095633E" w:rsidP="008349EF">
            <w:pPr>
              <w:spacing w:line="240" w:lineRule="auto"/>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318EEB04" w14:textId="77777777" w:rsidR="0095633E" w:rsidRPr="0072546F" w:rsidRDefault="0095633E" w:rsidP="008349EF">
            <w:pPr>
              <w:spacing w:line="240" w:lineRule="auto"/>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52DABAFD" w14:textId="77777777" w:rsidR="0095633E" w:rsidRPr="0072546F" w:rsidRDefault="0095633E" w:rsidP="008349EF">
            <w:pPr>
              <w:spacing w:line="240" w:lineRule="auto"/>
              <w:rPr>
                <w:rFonts w:ascii="Times New Roman" w:hAnsi="Times New Roman"/>
                <w:color w:val="000000"/>
                <w:lang w:val="en-GB"/>
              </w:rPr>
            </w:pPr>
          </w:p>
        </w:tc>
      </w:tr>
      <w:tr w:rsidR="0095633E" w:rsidRPr="0072546F" w14:paraId="74472371"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F64C3"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lastRenderedPageBreak/>
              <w:t>5.1</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98001"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 xml:space="preserve">Share of balance sheet assets in foreign currency and foreign currency-linked assets in total assets </w:t>
            </w:r>
            <w:r w:rsidRPr="0072546F">
              <w:rPr>
                <w:rFonts w:ascii="Times New Roman" w:hAnsi="Times New Roman"/>
                <w:color w:val="000000"/>
                <w:vertAlign w:val="superscript"/>
                <w:lang w:val="en-GB"/>
              </w:rPr>
              <w:t>17</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0872C"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4A1E7089"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0CD01189"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253D7F7A"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43502278"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3B1BBBDB"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79BB0"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5.2</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C8FAB"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 xml:space="preserve">Share of balance sheet liabilities in foreign currency and foreign currency-linked liabilities in total assets </w:t>
            </w:r>
            <w:r w:rsidRPr="0072546F">
              <w:rPr>
                <w:rFonts w:ascii="Times New Roman" w:hAnsi="Times New Roman"/>
                <w:color w:val="000000"/>
                <w:vertAlign w:val="superscript"/>
                <w:lang w:val="en-GB"/>
              </w:rPr>
              <w:t>18</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08010"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77EDEA0F"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7D393237"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1648500F"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6F340E76"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05687B9E"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02851F"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5.3</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B9B175"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 xml:space="preserve">  Total balance sheet assets in foreign currency /Total assets</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D99C03"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3A42F602"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35E4792D"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19099402"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1F7FD058"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3E23E589"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AFFFE"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5.4</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B7178"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 xml:space="preserve">   Total balance sheet liabilities in foreign currency /Total liabilities</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CB2ED"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3AC91FFE"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50DD216C"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4E581762"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2485DAB4"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0F016855"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990D0"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5.5</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A53F73"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Ratio of the bank 's open foreign exchange position to each currency (long)</w:t>
            </w:r>
            <w:r w:rsidRPr="0072546F">
              <w:rPr>
                <w:rFonts w:ascii="Times New Roman" w:hAnsi="Times New Roman"/>
                <w:color w:val="000000"/>
                <w:vertAlign w:val="superscript"/>
                <w:lang w:val="en-GB"/>
              </w:rPr>
              <w:t>19</w:t>
            </w:r>
            <w:r w:rsidRPr="0072546F" w:rsidDel="005961DD">
              <w:rPr>
                <w:rFonts w:ascii="Times New Roman" w:hAnsi="Times New Roman"/>
                <w:color w:val="000000"/>
                <w:lang w:val="en-GB"/>
              </w:rPr>
              <w:t xml:space="preserve"> </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7FE7FC" w14:textId="77777777" w:rsidR="0095633E" w:rsidRPr="0072546F" w:rsidRDefault="0095633E" w:rsidP="008349EF">
            <w:pPr>
              <w:spacing w:line="240" w:lineRule="auto"/>
              <w:jc w:val="center"/>
              <w:rPr>
                <w:rFonts w:ascii="Times New Roman" w:hAnsi="Times New Roman"/>
                <w:color w:val="000000"/>
                <w:lang w:val="en-GB"/>
              </w:rPr>
            </w:pPr>
          </w:p>
        </w:tc>
        <w:tc>
          <w:tcPr>
            <w:tcW w:w="604" w:type="pct"/>
            <w:tcBorders>
              <w:top w:val="single" w:sz="6" w:space="0" w:color="000000"/>
              <w:left w:val="single" w:sz="6" w:space="0" w:color="000000"/>
              <w:bottom w:val="single" w:sz="6" w:space="0" w:color="000000"/>
              <w:right w:val="single" w:sz="6" w:space="0" w:color="000000"/>
            </w:tcBorders>
          </w:tcPr>
          <w:p w14:paraId="32F38AC9"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44200B80"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1C65F61C"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0E9F4407"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2FF9EB1C"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0C49AA"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5.6</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72CEDC" w14:textId="77777777" w:rsidR="0095633E" w:rsidRPr="0072546F" w:rsidDel="005961DD" w:rsidRDefault="0095633E" w:rsidP="008349EF">
            <w:pPr>
              <w:spacing w:line="240" w:lineRule="auto"/>
              <w:rPr>
                <w:rFonts w:ascii="Times New Roman" w:hAnsi="Times New Roman"/>
                <w:color w:val="000000"/>
                <w:vertAlign w:val="superscript"/>
                <w:lang w:val="en-GB"/>
              </w:rPr>
            </w:pPr>
            <w:r w:rsidRPr="0072546F">
              <w:rPr>
                <w:rFonts w:ascii="Times New Roman" w:hAnsi="Times New Roman"/>
                <w:color w:val="000000"/>
                <w:lang w:val="en-GB"/>
              </w:rPr>
              <w:t>Ratio of the bank 's open foreign exchange position to each currency (short)</w:t>
            </w:r>
            <w:r w:rsidRPr="0072546F">
              <w:rPr>
                <w:rFonts w:ascii="Times New Roman" w:hAnsi="Times New Roman"/>
                <w:color w:val="000000"/>
                <w:vertAlign w:val="superscript"/>
                <w:lang w:val="en-GB"/>
              </w:rPr>
              <w:t>20</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768812"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604" w:type="pct"/>
            <w:tcBorders>
              <w:top w:val="single" w:sz="6" w:space="0" w:color="000000"/>
              <w:left w:val="single" w:sz="6" w:space="0" w:color="000000"/>
              <w:bottom w:val="single" w:sz="6" w:space="0" w:color="000000"/>
              <w:right w:val="single" w:sz="6" w:space="0" w:color="000000"/>
            </w:tcBorders>
          </w:tcPr>
          <w:p w14:paraId="674ECC37"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54FD443A"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132F54A4"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19CEDCD1" w14:textId="77777777" w:rsidR="0095633E" w:rsidRPr="0072546F" w:rsidDel="005961DD" w:rsidRDefault="0095633E" w:rsidP="008349EF">
            <w:pPr>
              <w:spacing w:line="240" w:lineRule="auto"/>
              <w:jc w:val="center"/>
              <w:rPr>
                <w:rFonts w:ascii="Times New Roman" w:hAnsi="Times New Roman"/>
                <w:color w:val="000000"/>
                <w:lang w:val="en-GB"/>
              </w:rPr>
            </w:pPr>
          </w:p>
        </w:tc>
      </w:tr>
      <w:tr w:rsidR="0095633E" w:rsidRPr="0072546F" w14:paraId="653E172F"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BD58F5"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5.7</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0A62ED" w14:textId="77777777" w:rsidR="0095633E" w:rsidRPr="0072546F" w:rsidDel="005961DD"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Ratio of the bank's open foreign exchange position to all currencies (long)</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821994"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604" w:type="pct"/>
            <w:tcBorders>
              <w:top w:val="single" w:sz="6" w:space="0" w:color="000000"/>
              <w:left w:val="single" w:sz="6" w:space="0" w:color="000000"/>
              <w:bottom w:val="single" w:sz="6" w:space="0" w:color="000000"/>
              <w:right w:val="single" w:sz="6" w:space="0" w:color="000000"/>
            </w:tcBorders>
          </w:tcPr>
          <w:p w14:paraId="371C29CB"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4E7C2138"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0B133E55"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7C4B0650" w14:textId="77777777" w:rsidR="0095633E" w:rsidRPr="0072546F" w:rsidDel="005961DD" w:rsidRDefault="0095633E" w:rsidP="008349EF">
            <w:pPr>
              <w:spacing w:line="240" w:lineRule="auto"/>
              <w:jc w:val="center"/>
              <w:rPr>
                <w:rFonts w:ascii="Times New Roman" w:hAnsi="Times New Roman"/>
                <w:color w:val="000000"/>
                <w:lang w:val="en-GB"/>
              </w:rPr>
            </w:pPr>
          </w:p>
        </w:tc>
      </w:tr>
      <w:tr w:rsidR="0095633E" w:rsidRPr="0072546F" w14:paraId="1F18754C"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0C441D"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5.8</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9DBE70" w14:textId="77777777" w:rsidR="0095633E" w:rsidRPr="0072546F" w:rsidDel="005961DD"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Ratio of the bank's open foreign exchange position to all currencies (short)</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9FA77A"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604" w:type="pct"/>
            <w:tcBorders>
              <w:top w:val="single" w:sz="6" w:space="0" w:color="000000"/>
              <w:left w:val="single" w:sz="6" w:space="0" w:color="000000"/>
              <w:bottom w:val="single" w:sz="6" w:space="0" w:color="000000"/>
              <w:right w:val="single" w:sz="6" w:space="0" w:color="000000"/>
            </w:tcBorders>
          </w:tcPr>
          <w:p w14:paraId="48E8D686"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277ABF67"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2B0D9B66"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440F6EBF" w14:textId="77777777" w:rsidR="0095633E" w:rsidRPr="0072546F" w:rsidDel="005961DD" w:rsidRDefault="0095633E" w:rsidP="008349EF">
            <w:pPr>
              <w:spacing w:line="240" w:lineRule="auto"/>
              <w:jc w:val="center"/>
              <w:rPr>
                <w:rFonts w:ascii="Times New Roman" w:hAnsi="Times New Roman"/>
                <w:color w:val="000000"/>
                <w:lang w:val="en-GB"/>
              </w:rPr>
            </w:pPr>
          </w:p>
        </w:tc>
      </w:tr>
      <w:tr w:rsidR="0095633E" w:rsidRPr="0072546F" w14:paraId="00D05D88"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58AB45"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5.9</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AF348E" w14:textId="77777777" w:rsidR="0095633E" w:rsidRPr="0072546F" w:rsidDel="005961DD"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The ratio between the amount of foreign currency balance sheet assets and the amount of balance sheet liabilities in foreign currency (for banks where the amount of foreign currency balance sheet assets and the amount of balance sheet liabilities in foreign currency will separately exceed for each of them 10 percent of the total own funds)</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801827"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604" w:type="pct"/>
            <w:tcBorders>
              <w:top w:val="single" w:sz="6" w:space="0" w:color="000000"/>
              <w:left w:val="single" w:sz="6" w:space="0" w:color="000000"/>
              <w:bottom w:val="single" w:sz="6" w:space="0" w:color="000000"/>
              <w:right w:val="single" w:sz="6" w:space="0" w:color="000000"/>
            </w:tcBorders>
          </w:tcPr>
          <w:p w14:paraId="652B97F0"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5470B11F"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0247D16D"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1839E9F0" w14:textId="77777777" w:rsidR="0095633E" w:rsidRPr="0072546F" w:rsidDel="005961DD" w:rsidRDefault="0095633E" w:rsidP="008349EF">
            <w:pPr>
              <w:spacing w:line="240" w:lineRule="auto"/>
              <w:jc w:val="center"/>
              <w:rPr>
                <w:rFonts w:ascii="Times New Roman" w:hAnsi="Times New Roman"/>
                <w:color w:val="000000"/>
                <w:lang w:val="en-GB"/>
              </w:rPr>
            </w:pPr>
          </w:p>
        </w:tc>
      </w:tr>
      <w:tr w:rsidR="0095633E" w:rsidRPr="0072546F" w14:paraId="606ABB03"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A0DD82"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b/>
                <w:color w:val="000000"/>
                <w:lang w:val="en-GB"/>
              </w:rPr>
              <w:t>6</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5E996C" w14:textId="77777777" w:rsidR="0095633E" w:rsidRPr="0072546F" w:rsidDel="005961DD" w:rsidRDefault="0095633E" w:rsidP="008349EF">
            <w:pPr>
              <w:spacing w:line="240" w:lineRule="auto"/>
              <w:jc w:val="center"/>
              <w:rPr>
                <w:rFonts w:ascii="Times New Roman" w:hAnsi="Times New Roman"/>
                <w:color w:val="000000"/>
                <w:lang w:val="en-GB"/>
              </w:rPr>
            </w:pPr>
            <w:r w:rsidRPr="0072546F">
              <w:rPr>
                <w:rFonts w:ascii="Times New Roman" w:hAnsi="Times New Roman"/>
                <w:b/>
                <w:color w:val="000000"/>
                <w:lang w:val="en-GB"/>
              </w:rPr>
              <w:t>DOMINANT POSITION LIMITS ON THE BANKING MARKET</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309754"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604" w:type="pct"/>
            <w:tcBorders>
              <w:top w:val="single" w:sz="6" w:space="0" w:color="000000"/>
              <w:left w:val="single" w:sz="6" w:space="0" w:color="000000"/>
              <w:bottom w:val="single" w:sz="6" w:space="0" w:color="000000"/>
              <w:right w:val="single" w:sz="6" w:space="0" w:color="000000"/>
            </w:tcBorders>
          </w:tcPr>
          <w:p w14:paraId="152A5C37"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152076A3"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1973F7BA"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10F34A01" w14:textId="77777777" w:rsidR="0095633E" w:rsidRPr="0072546F" w:rsidDel="005961DD" w:rsidRDefault="0095633E" w:rsidP="008349EF">
            <w:pPr>
              <w:spacing w:line="240" w:lineRule="auto"/>
              <w:jc w:val="center"/>
              <w:rPr>
                <w:rFonts w:ascii="Times New Roman" w:hAnsi="Times New Roman"/>
                <w:color w:val="000000"/>
                <w:lang w:val="en-GB"/>
              </w:rPr>
            </w:pPr>
          </w:p>
        </w:tc>
      </w:tr>
      <w:tr w:rsidR="0095633E" w:rsidRPr="0072546F" w14:paraId="01D6CC0D"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955A32"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lastRenderedPageBreak/>
              <w:t>6.1</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B236E2" w14:textId="77777777" w:rsidR="0095633E" w:rsidRPr="0072546F" w:rsidDel="005961DD"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Total assets of the bank / Total assets by banking sector</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F06CB8" w14:textId="77777777" w:rsidR="0095633E" w:rsidRPr="0072546F" w:rsidDel="005961DD"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0E87A8FC"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056A92BC"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648BD8D6"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640A7FD4"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7E636857"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5EAEA5"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6.2</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5EB1F4" w14:textId="77777777" w:rsidR="0095633E" w:rsidRPr="0072546F" w:rsidDel="005961DD"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Total deposits of individuals in banks / Total deposits of individuals in the banking sector</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DDCF74" w14:textId="77777777" w:rsidR="0095633E" w:rsidRPr="0072546F" w:rsidDel="005961DD"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w:t>
            </w:r>
          </w:p>
        </w:tc>
        <w:tc>
          <w:tcPr>
            <w:tcW w:w="604" w:type="pct"/>
            <w:tcBorders>
              <w:top w:val="single" w:sz="6" w:space="0" w:color="000000"/>
              <w:left w:val="single" w:sz="6" w:space="0" w:color="000000"/>
              <w:bottom w:val="single" w:sz="6" w:space="0" w:color="000000"/>
              <w:right w:val="single" w:sz="6" w:space="0" w:color="000000"/>
            </w:tcBorders>
          </w:tcPr>
          <w:p w14:paraId="426C91F9"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5A28C89C"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69A4E9A0"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76A3A0F9" w14:textId="77777777" w:rsidR="0095633E" w:rsidRPr="0072546F" w:rsidDel="005961DD" w:rsidRDefault="0095633E" w:rsidP="008349EF">
            <w:pPr>
              <w:spacing w:line="240" w:lineRule="auto"/>
              <w:jc w:val="center"/>
              <w:rPr>
                <w:rFonts w:ascii="Times New Roman" w:hAnsi="Times New Roman"/>
                <w:color w:val="000000"/>
                <w:lang w:val="en-GB"/>
              </w:rPr>
            </w:pPr>
          </w:p>
        </w:tc>
      </w:tr>
      <w:tr w:rsidR="0095633E" w:rsidRPr="0072546F" w14:paraId="5E315ECE"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A6C36C" w14:textId="77777777" w:rsidR="0095633E" w:rsidRPr="0072546F" w:rsidRDefault="0095633E" w:rsidP="008349EF">
            <w:pPr>
              <w:spacing w:line="240" w:lineRule="auto"/>
              <w:jc w:val="center"/>
              <w:rPr>
                <w:rFonts w:ascii="Times New Roman" w:hAnsi="Times New Roman"/>
                <w:b/>
                <w:color w:val="000000"/>
                <w:lang w:val="en-GB"/>
              </w:rPr>
            </w:pPr>
            <w:r w:rsidRPr="0072546F">
              <w:rPr>
                <w:rFonts w:ascii="Times New Roman" w:hAnsi="Times New Roman"/>
                <w:b/>
                <w:color w:val="000000"/>
                <w:lang w:val="en-GB"/>
              </w:rPr>
              <w:t>7</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A3DCC8" w14:textId="77777777" w:rsidR="0095633E" w:rsidRPr="0072546F" w:rsidDel="005961DD" w:rsidRDefault="0095633E" w:rsidP="008349EF">
            <w:pPr>
              <w:spacing w:line="240" w:lineRule="auto"/>
              <w:jc w:val="center"/>
              <w:rPr>
                <w:rFonts w:ascii="Times New Roman" w:hAnsi="Times New Roman"/>
                <w:b/>
                <w:color w:val="000000"/>
                <w:lang w:val="en-GB"/>
              </w:rPr>
            </w:pPr>
            <w:r w:rsidRPr="0072546F">
              <w:rPr>
                <w:rFonts w:ascii="Times New Roman" w:hAnsi="Times New Roman"/>
                <w:b/>
                <w:color w:val="000000"/>
                <w:lang w:val="en-GB"/>
              </w:rPr>
              <w:t>GENERAL DATA</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599043"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604" w:type="pct"/>
            <w:tcBorders>
              <w:top w:val="single" w:sz="6" w:space="0" w:color="000000"/>
              <w:left w:val="single" w:sz="6" w:space="0" w:color="000000"/>
              <w:bottom w:val="single" w:sz="6" w:space="0" w:color="000000"/>
              <w:right w:val="single" w:sz="6" w:space="0" w:color="000000"/>
            </w:tcBorders>
          </w:tcPr>
          <w:p w14:paraId="22004F9B"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00FAAB0E"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2B80DEFA" w14:textId="77777777" w:rsidR="0095633E" w:rsidRPr="0072546F" w:rsidDel="005961DD"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09F6DAB7" w14:textId="77777777" w:rsidR="0095633E" w:rsidRPr="0072546F" w:rsidDel="005961DD" w:rsidRDefault="0095633E" w:rsidP="008349EF">
            <w:pPr>
              <w:spacing w:line="240" w:lineRule="auto"/>
              <w:jc w:val="center"/>
              <w:rPr>
                <w:rFonts w:ascii="Times New Roman" w:hAnsi="Times New Roman"/>
                <w:color w:val="000000"/>
                <w:lang w:val="en-GB"/>
              </w:rPr>
            </w:pPr>
          </w:p>
        </w:tc>
      </w:tr>
      <w:tr w:rsidR="0095633E" w:rsidRPr="0072546F" w14:paraId="7A9BA7E0"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EEF80"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7.1</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6B774" w14:textId="77777777" w:rsidR="0095633E" w:rsidRPr="0072546F" w:rsidRDefault="0095633E" w:rsidP="008349EF">
            <w:pPr>
              <w:spacing w:line="240" w:lineRule="auto"/>
              <w:rPr>
                <w:rFonts w:ascii="Times New Roman" w:hAnsi="Times New Roman"/>
                <w:color w:val="000000"/>
                <w:lang w:val="en-GB"/>
              </w:rPr>
            </w:pPr>
            <w:r w:rsidRPr="0072546F">
              <w:rPr>
                <w:rFonts w:ascii="Times New Roman" w:hAnsi="Times New Roman"/>
                <w:color w:val="000000"/>
                <w:lang w:val="en-GB"/>
              </w:rPr>
              <w:t xml:space="preserve">  Total number of bank’s employees</w:t>
            </w:r>
            <w:r w:rsidRPr="0072546F">
              <w:rPr>
                <w:rFonts w:ascii="Times New Roman" w:hAnsi="Times New Roman"/>
                <w:color w:val="000000"/>
                <w:vertAlign w:val="superscript"/>
                <w:lang w:val="en-GB"/>
              </w:rPr>
              <w:t>21</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8883A"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no.</w:t>
            </w:r>
          </w:p>
        </w:tc>
        <w:tc>
          <w:tcPr>
            <w:tcW w:w="604" w:type="pct"/>
            <w:tcBorders>
              <w:top w:val="single" w:sz="6" w:space="0" w:color="000000"/>
              <w:left w:val="single" w:sz="6" w:space="0" w:color="000000"/>
              <w:bottom w:val="single" w:sz="6" w:space="0" w:color="000000"/>
              <w:right w:val="single" w:sz="6" w:space="0" w:color="000000"/>
            </w:tcBorders>
          </w:tcPr>
          <w:p w14:paraId="494EDD8F"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7196822D"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360CE046"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2704B4DF" w14:textId="77777777" w:rsidR="0095633E" w:rsidRPr="0072546F" w:rsidRDefault="0095633E" w:rsidP="008349EF">
            <w:pPr>
              <w:spacing w:line="240" w:lineRule="auto"/>
              <w:jc w:val="center"/>
              <w:rPr>
                <w:rFonts w:ascii="Times New Roman" w:hAnsi="Times New Roman"/>
                <w:color w:val="000000"/>
                <w:lang w:val="en-GB"/>
              </w:rPr>
            </w:pPr>
          </w:p>
        </w:tc>
      </w:tr>
      <w:tr w:rsidR="0095633E" w:rsidRPr="0072546F" w14:paraId="3B243436" w14:textId="77777777" w:rsidTr="008349EF">
        <w:trPr>
          <w:jc w:val="center"/>
        </w:trPr>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4268C"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7.2</w:t>
            </w:r>
          </w:p>
        </w:tc>
        <w:tc>
          <w:tcPr>
            <w:tcW w:w="13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7B189" w14:textId="77777777" w:rsidR="0095633E" w:rsidRPr="0072546F" w:rsidRDefault="0095633E" w:rsidP="008349EF">
            <w:pPr>
              <w:spacing w:after="0" w:line="240" w:lineRule="auto"/>
              <w:jc w:val="both"/>
              <w:rPr>
                <w:rFonts w:ascii="Times New Roman" w:eastAsia="Times New Roman" w:hAnsi="Times New Roman"/>
                <w:color w:val="000000"/>
                <w:sz w:val="24"/>
                <w:szCs w:val="24"/>
                <w:lang w:val="en-GB"/>
              </w:rPr>
            </w:pPr>
            <w:r w:rsidRPr="0072546F">
              <w:rPr>
                <w:rFonts w:ascii="Times New Roman" w:hAnsi="Times New Roman"/>
                <w:color w:val="000000"/>
                <w:lang w:val="en-GB"/>
              </w:rPr>
              <w:t>Subdivisions of bank:</w:t>
            </w:r>
            <w:r w:rsidRPr="0072546F">
              <w:rPr>
                <w:rFonts w:ascii="Times New Roman" w:eastAsia="Times New Roman" w:hAnsi="Times New Roman"/>
                <w:color w:val="000000"/>
                <w:sz w:val="24"/>
                <w:szCs w:val="24"/>
                <w:lang w:val="en-GB"/>
              </w:rPr>
              <w:t xml:space="preserve"> </w:t>
            </w:r>
          </w:p>
          <w:p w14:paraId="0FF2A519" w14:textId="77777777" w:rsidR="0095633E" w:rsidRPr="0072546F" w:rsidRDefault="0095633E" w:rsidP="008349EF">
            <w:pPr>
              <w:spacing w:after="0" w:line="240" w:lineRule="auto"/>
              <w:ind w:firstLine="216"/>
              <w:jc w:val="both"/>
              <w:rPr>
                <w:rFonts w:ascii="Times New Roman" w:eastAsia="Times New Roman" w:hAnsi="Times New Roman"/>
                <w:color w:val="000000"/>
                <w:sz w:val="24"/>
                <w:szCs w:val="24"/>
                <w:lang w:val="en-GB"/>
              </w:rPr>
            </w:pPr>
            <w:r w:rsidRPr="0072546F">
              <w:rPr>
                <w:rFonts w:ascii="Times New Roman" w:eastAsia="Times New Roman" w:hAnsi="Times New Roman"/>
                <w:color w:val="000000"/>
                <w:sz w:val="24"/>
                <w:szCs w:val="24"/>
                <w:lang w:val="en-GB"/>
              </w:rPr>
              <w:t>- branches</w:t>
            </w:r>
          </w:p>
          <w:p w14:paraId="6AB458C4" w14:textId="77777777" w:rsidR="0095633E" w:rsidRPr="0072546F" w:rsidRDefault="0095633E" w:rsidP="008349EF">
            <w:pPr>
              <w:spacing w:after="0" w:line="240" w:lineRule="auto"/>
              <w:ind w:firstLine="216"/>
              <w:jc w:val="both"/>
              <w:rPr>
                <w:rFonts w:ascii="Times New Roman" w:eastAsia="Times New Roman" w:hAnsi="Times New Roman"/>
                <w:color w:val="000000"/>
                <w:sz w:val="24"/>
                <w:szCs w:val="24"/>
                <w:lang w:val="en-GB"/>
              </w:rPr>
            </w:pPr>
            <w:r w:rsidRPr="0072546F">
              <w:rPr>
                <w:rFonts w:ascii="Times New Roman" w:eastAsia="Times New Roman" w:hAnsi="Times New Roman"/>
                <w:color w:val="000000"/>
                <w:sz w:val="24"/>
                <w:szCs w:val="24"/>
                <w:lang w:val="en-GB"/>
              </w:rPr>
              <w:t>- agencies</w:t>
            </w:r>
          </w:p>
          <w:p w14:paraId="23BE493F" w14:textId="77777777" w:rsidR="0095633E" w:rsidRPr="0072546F" w:rsidRDefault="0095633E" w:rsidP="008349EF">
            <w:pPr>
              <w:spacing w:after="0" w:line="240" w:lineRule="auto"/>
              <w:ind w:firstLine="216"/>
              <w:jc w:val="both"/>
              <w:rPr>
                <w:rFonts w:ascii="Times New Roman" w:hAnsi="Times New Roman"/>
                <w:color w:val="000000"/>
                <w:lang w:val="en-GB"/>
              </w:rPr>
            </w:pPr>
            <w:r w:rsidRPr="0072546F">
              <w:rPr>
                <w:rFonts w:ascii="Times New Roman" w:eastAsia="Times New Roman" w:hAnsi="Times New Roman"/>
                <w:color w:val="000000"/>
                <w:sz w:val="24"/>
                <w:szCs w:val="24"/>
                <w:lang w:val="en-GB"/>
              </w:rPr>
              <w:t>- foreign exchange entities</w:t>
            </w:r>
          </w:p>
        </w:tc>
        <w:tc>
          <w:tcPr>
            <w:tcW w:w="7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CBAE5" w14:textId="77777777" w:rsidR="0095633E" w:rsidRPr="0072546F" w:rsidRDefault="0095633E" w:rsidP="008349EF">
            <w:pPr>
              <w:spacing w:line="240" w:lineRule="auto"/>
              <w:jc w:val="center"/>
              <w:rPr>
                <w:rFonts w:ascii="Times New Roman" w:hAnsi="Times New Roman"/>
                <w:color w:val="000000"/>
                <w:lang w:val="en-GB"/>
              </w:rPr>
            </w:pPr>
            <w:r w:rsidRPr="0072546F">
              <w:rPr>
                <w:rFonts w:ascii="Times New Roman" w:hAnsi="Times New Roman"/>
                <w:color w:val="000000"/>
                <w:lang w:val="en-GB"/>
              </w:rPr>
              <w:t>no.</w:t>
            </w:r>
          </w:p>
        </w:tc>
        <w:tc>
          <w:tcPr>
            <w:tcW w:w="604" w:type="pct"/>
            <w:tcBorders>
              <w:top w:val="single" w:sz="6" w:space="0" w:color="000000"/>
              <w:left w:val="single" w:sz="6" w:space="0" w:color="000000"/>
              <w:bottom w:val="single" w:sz="6" w:space="0" w:color="000000"/>
              <w:right w:val="single" w:sz="6" w:space="0" w:color="000000"/>
            </w:tcBorders>
          </w:tcPr>
          <w:p w14:paraId="416AC832" w14:textId="77777777" w:rsidR="0095633E" w:rsidRPr="0072546F" w:rsidRDefault="0095633E" w:rsidP="008349EF">
            <w:pPr>
              <w:spacing w:line="240" w:lineRule="auto"/>
              <w:jc w:val="center"/>
              <w:rPr>
                <w:rFonts w:ascii="Times New Roman" w:hAnsi="Times New Roman"/>
                <w:color w:val="000000"/>
                <w:lang w:val="en-GB"/>
              </w:rPr>
            </w:pPr>
          </w:p>
        </w:tc>
        <w:tc>
          <w:tcPr>
            <w:tcW w:w="751" w:type="pct"/>
            <w:tcBorders>
              <w:top w:val="single" w:sz="6" w:space="0" w:color="000000"/>
              <w:left w:val="single" w:sz="6" w:space="0" w:color="000000"/>
              <w:bottom w:val="single" w:sz="6" w:space="0" w:color="000000"/>
              <w:right w:val="single" w:sz="6" w:space="0" w:color="000000"/>
            </w:tcBorders>
          </w:tcPr>
          <w:p w14:paraId="388EFA4F" w14:textId="77777777" w:rsidR="0095633E" w:rsidRPr="0072546F" w:rsidRDefault="0095633E" w:rsidP="008349EF">
            <w:pPr>
              <w:spacing w:line="240" w:lineRule="auto"/>
              <w:jc w:val="center"/>
              <w:rPr>
                <w:rFonts w:ascii="Times New Roman" w:hAnsi="Times New Roman"/>
                <w:color w:val="000000"/>
                <w:lang w:val="en-GB"/>
              </w:rPr>
            </w:pPr>
          </w:p>
        </w:tc>
        <w:tc>
          <w:tcPr>
            <w:tcW w:w="702" w:type="pct"/>
            <w:tcBorders>
              <w:top w:val="single" w:sz="6" w:space="0" w:color="000000"/>
              <w:left w:val="single" w:sz="6" w:space="0" w:color="000000"/>
              <w:bottom w:val="single" w:sz="6" w:space="0" w:color="000000"/>
              <w:right w:val="single" w:sz="6" w:space="0" w:color="000000"/>
            </w:tcBorders>
          </w:tcPr>
          <w:p w14:paraId="602581DD" w14:textId="77777777" w:rsidR="0095633E" w:rsidRPr="0072546F" w:rsidRDefault="0095633E" w:rsidP="008349EF">
            <w:pPr>
              <w:spacing w:line="240" w:lineRule="auto"/>
              <w:jc w:val="center"/>
              <w:rPr>
                <w:rFonts w:ascii="Times New Roman" w:hAnsi="Times New Roman"/>
                <w:color w:val="000000"/>
                <w:lang w:val="en-GB"/>
              </w:rPr>
            </w:pPr>
          </w:p>
        </w:tc>
        <w:tc>
          <w:tcPr>
            <w:tcW w:w="507" w:type="pct"/>
            <w:tcBorders>
              <w:top w:val="single" w:sz="6" w:space="0" w:color="000000"/>
              <w:left w:val="single" w:sz="6" w:space="0" w:color="000000"/>
              <w:bottom w:val="single" w:sz="6" w:space="0" w:color="000000"/>
              <w:right w:val="single" w:sz="6" w:space="0" w:color="000000"/>
            </w:tcBorders>
          </w:tcPr>
          <w:p w14:paraId="19F3DAF9" w14:textId="77777777" w:rsidR="0095633E" w:rsidRPr="0072546F" w:rsidRDefault="0095633E" w:rsidP="008349EF">
            <w:pPr>
              <w:spacing w:line="240" w:lineRule="auto"/>
              <w:jc w:val="center"/>
              <w:rPr>
                <w:rFonts w:ascii="Times New Roman" w:hAnsi="Times New Roman"/>
                <w:color w:val="000000"/>
                <w:lang w:val="en-GB"/>
              </w:rPr>
            </w:pPr>
          </w:p>
        </w:tc>
      </w:tr>
    </w:tbl>
    <w:p w14:paraId="76F3C678" w14:textId="77777777" w:rsidR="0095633E" w:rsidRPr="0072546F" w:rsidRDefault="0095633E" w:rsidP="0095633E">
      <w:pPr>
        <w:jc w:val="both"/>
        <w:rPr>
          <w:rFonts w:ascii="Times New Roman" w:hAnsi="Times New Roman"/>
          <w:b/>
          <w:bCs/>
          <w:color w:val="000000"/>
          <w:sz w:val="24"/>
          <w:szCs w:val="24"/>
          <w:lang w:val="en-GB"/>
        </w:rPr>
      </w:pPr>
    </w:p>
    <w:p w14:paraId="0111D50C" w14:textId="77777777" w:rsidR="0095633E" w:rsidRPr="0072546F" w:rsidRDefault="0095633E" w:rsidP="0095633E">
      <w:pPr>
        <w:jc w:val="both"/>
        <w:rPr>
          <w:rFonts w:ascii="Times New Roman" w:hAnsi="Times New Roman"/>
          <w:b/>
          <w:bCs/>
          <w:color w:val="000000"/>
          <w:sz w:val="24"/>
          <w:szCs w:val="24"/>
          <w:lang w:val="en-GB"/>
        </w:rPr>
      </w:pPr>
      <w:r w:rsidRPr="0072546F">
        <w:rPr>
          <w:rFonts w:ascii="Times New Roman" w:hAnsi="Times New Roman"/>
          <w:b/>
          <w:bCs/>
          <w:color w:val="000000"/>
          <w:sz w:val="24"/>
          <w:szCs w:val="24"/>
          <w:lang w:val="en-GB"/>
        </w:rPr>
        <w:t>Note:</w:t>
      </w:r>
    </w:p>
    <w:p w14:paraId="2426CCC2" w14:textId="77777777" w:rsidR="0095633E" w:rsidRPr="0072546F" w:rsidRDefault="0095633E" w:rsidP="0095633E">
      <w:pPr>
        <w:jc w:val="both"/>
        <w:rPr>
          <w:rFonts w:ascii="Times New Roman" w:hAnsi="Times New Roman"/>
          <w:bCs/>
          <w:color w:val="000000"/>
          <w:sz w:val="24"/>
          <w:szCs w:val="24"/>
          <w:lang w:val="en-GB"/>
        </w:rPr>
      </w:pPr>
      <w:r w:rsidRPr="0072546F">
        <w:rPr>
          <w:rFonts w:ascii="Times New Roman" w:hAnsi="Times New Roman"/>
          <w:bCs/>
          <w:color w:val="000000"/>
          <w:sz w:val="24"/>
          <w:szCs w:val="24"/>
          <w:lang w:val="en-GB"/>
        </w:rPr>
        <w:t>The information is published in accordance with the Regulation on publication requirements for banks.</w:t>
      </w:r>
    </w:p>
    <w:p w14:paraId="7F89E612" w14:textId="77777777" w:rsidR="0095633E" w:rsidRPr="0072546F" w:rsidRDefault="0095633E" w:rsidP="0095633E">
      <w:pPr>
        <w:jc w:val="both"/>
        <w:rPr>
          <w:rFonts w:ascii="Times New Roman" w:hAnsi="Times New Roman"/>
          <w:color w:val="000000"/>
          <w:sz w:val="24"/>
          <w:szCs w:val="24"/>
          <w:lang w:val="en-GB"/>
        </w:rPr>
      </w:pPr>
      <w:r w:rsidRPr="0072546F">
        <w:rPr>
          <w:rFonts w:ascii="Times New Roman" w:hAnsi="Times New Roman"/>
          <w:bCs/>
          <w:color w:val="000000"/>
          <w:sz w:val="24"/>
          <w:szCs w:val="24"/>
          <w:lang w:val="en-GB"/>
        </w:rPr>
        <w:t xml:space="preserve">* Column D "Normative" will be completed by the bank </w:t>
      </w:r>
      <w:proofErr w:type="gramStart"/>
      <w:r w:rsidRPr="0072546F">
        <w:rPr>
          <w:rFonts w:ascii="Times New Roman" w:hAnsi="Times New Roman"/>
          <w:bCs/>
          <w:color w:val="000000"/>
          <w:sz w:val="24"/>
          <w:szCs w:val="24"/>
          <w:lang w:val="en-GB"/>
        </w:rPr>
        <w:t>taking into account</w:t>
      </w:r>
      <w:proofErr w:type="gramEnd"/>
      <w:r w:rsidRPr="0072546F">
        <w:rPr>
          <w:rFonts w:ascii="Times New Roman" w:hAnsi="Times New Roman"/>
          <w:bCs/>
          <w:color w:val="000000"/>
          <w:sz w:val="24"/>
          <w:szCs w:val="24"/>
          <w:lang w:val="en-GB"/>
        </w:rPr>
        <w:t xml:space="preserve"> the requirement established by the normative acts of the National Bank of Moldova on the date of publication of the information.</w:t>
      </w:r>
      <w:r w:rsidRPr="0072546F">
        <w:rPr>
          <w:rFonts w:ascii="Times New Roman" w:hAnsi="Times New Roman"/>
          <w:color w:val="000000"/>
          <w:lang w:val="en-GB"/>
        </w:rPr>
        <w:t> </w:t>
      </w:r>
    </w:p>
    <w:p w14:paraId="684C43B3" w14:textId="77777777" w:rsidR="0095633E" w:rsidRPr="0072546F" w:rsidRDefault="0095633E" w:rsidP="0095633E">
      <w:pPr>
        <w:ind w:firstLine="567"/>
        <w:jc w:val="both"/>
        <w:rPr>
          <w:rFonts w:ascii="Times New Roman" w:hAnsi="Times New Roman"/>
          <w:color w:val="000000"/>
          <w:lang w:val="en-GB"/>
        </w:rPr>
      </w:pPr>
      <w:r w:rsidRPr="0072546F">
        <w:rPr>
          <w:rFonts w:ascii="Times New Roman" w:hAnsi="Times New Roman"/>
          <w:b/>
          <w:bCs/>
          <w:color w:val="000000"/>
          <w:lang w:val="en-GB"/>
        </w:rPr>
        <w:t>Signatures:</w:t>
      </w:r>
    </w:p>
    <w:p w14:paraId="50CE15B3" w14:textId="77777777" w:rsidR="0095633E" w:rsidRPr="0072546F" w:rsidRDefault="0095633E" w:rsidP="0095633E">
      <w:pPr>
        <w:ind w:firstLine="567"/>
        <w:jc w:val="both"/>
        <w:rPr>
          <w:rFonts w:ascii="Times New Roman" w:hAnsi="Times New Roman"/>
          <w:color w:val="000000"/>
          <w:lang w:val="en-GB"/>
        </w:rPr>
      </w:pPr>
      <w:r w:rsidRPr="0072546F">
        <w:rPr>
          <w:rFonts w:ascii="Times New Roman" w:hAnsi="Times New Roman"/>
          <w:b/>
          <w:bCs/>
          <w:color w:val="000000"/>
          <w:lang w:val="en-GB"/>
        </w:rPr>
        <w:t>Head of the bank's executive body</w:t>
      </w:r>
      <w:r w:rsidRPr="0072546F">
        <w:rPr>
          <w:rFonts w:ascii="Times New Roman" w:hAnsi="Times New Roman"/>
          <w:color w:val="000000"/>
          <w:lang w:val="en-GB"/>
        </w:rPr>
        <w:t xml:space="preserve"> ______________________________</w:t>
      </w:r>
    </w:p>
    <w:p w14:paraId="0D234E8B" w14:textId="77777777" w:rsidR="0095633E" w:rsidRPr="0072546F" w:rsidRDefault="0095633E" w:rsidP="0095633E">
      <w:pPr>
        <w:ind w:firstLine="567"/>
        <w:jc w:val="both"/>
        <w:rPr>
          <w:rFonts w:ascii="Times New Roman" w:hAnsi="Times New Roman"/>
          <w:color w:val="000000"/>
          <w:lang w:val="en-GB"/>
        </w:rPr>
      </w:pPr>
      <w:r w:rsidRPr="0072546F">
        <w:rPr>
          <w:rFonts w:ascii="Times New Roman" w:hAnsi="Times New Roman"/>
          <w:color w:val="000000"/>
          <w:lang w:val="en-GB"/>
        </w:rPr>
        <w:t xml:space="preserve">                                                                                                           (name, surname, position)</w:t>
      </w:r>
    </w:p>
    <w:p w14:paraId="1E88EE29" w14:textId="77777777" w:rsidR="0095633E" w:rsidRPr="0072546F" w:rsidRDefault="0095633E" w:rsidP="0095633E">
      <w:pPr>
        <w:ind w:firstLine="567"/>
        <w:jc w:val="both"/>
        <w:rPr>
          <w:rFonts w:ascii="Times New Roman" w:hAnsi="Times New Roman"/>
          <w:color w:val="000000"/>
          <w:lang w:val="en-GB"/>
        </w:rPr>
      </w:pPr>
      <w:r w:rsidRPr="0072546F">
        <w:rPr>
          <w:rFonts w:ascii="Times New Roman" w:hAnsi="Times New Roman"/>
          <w:b/>
          <w:bCs/>
          <w:color w:val="000000"/>
          <w:lang w:val="en-GB"/>
        </w:rPr>
        <w:t xml:space="preserve">Date of preparation </w:t>
      </w:r>
      <w:r w:rsidRPr="0072546F">
        <w:rPr>
          <w:rFonts w:ascii="Times New Roman" w:hAnsi="Times New Roman"/>
          <w:color w:val="000000"/>
          <w:lang w:val="en-GB"/>
        </w:rPr>
        <w:t>______________________</w:t>
      </w:r>
    </w:p>
    <w:p w14:paraId="06254F33" w14:textId="77777777" w:rsidR="0095633E" w:rsidRPr="0072546F" w:rsidRDefault="0095633E" w:rsidP="0095633E">
      <w:pPr>
        <w:spacing w:after="0" w:line="240" w:lineRule="auto"/>
        <w:jc w:val="center"/>
        <w:rPr>
          <w:rFonts w:ascii="Times New Roman" w:eastAsia="Times New Roman" w:hAnsi="Times New Roman"/>
          <w:b/>
          <w:bCs/>
          <w:color w:val="000000"/>
          <w:sz w:val="24"/>
          <w:szCs w:val="24"/>
          <w:lang w:val="en-GB"/>
        </w:rPr>
      </w:pPr>
    </w:p>
    <w:p w14:paraId="605C02C2" w14:textId="77777777" w:rsidR="0095633E" w:rsidRPr="0072546F" w:rsidRDefault="0095633E" w:rsidP="0095633E">
      <w:pPr>
        <w:spacing w:after="0" w:line="240" w:lineRule="auto"/>
        <w:jc w:val="center"/>
        <w:rPr>
          <w:rFonts w:ascii="Times New Roman" w:eastAsia="Times New Roman" w:hAnsi="Times New Roman"/>
          <w:b/>
          <w:bCs/>
          <w:color w:val="000000"/>
          <w:sz w:val="24"/>
          <w:szCs w:val="24"/>
          <w:lang w:val="en-GB"/>
        </w:rPr>
      </w:pPr>
    </w:p>
    <w:p w14:paraId="44E2C543" w14:textId="77777777" w:rsidR="0095633E" w:rsidRPr="0072546F" w:rsidRDefault="0095633E" w:rsidP="0095633E">
      <w:pPr>
        <w:spacing w:after="0" w:line="240" w:lineRule="auto"/>
        <w:jc w:val="center"/>
        <w:rPr>
          <w:rFonts w:ascii="Times New Roman" w:eastAsia="Times New Roman" w:hAnsi="Times New Roman"/>
          <w:b/>
          <w:bCs/>
          <w:color w:val="000000"/>
          <w:sz w:val="24"/>
          <w:szCs w:val="24"/>
          <w:lang w:val="en-GB"/>
        </w:rPr>
      </w:pPr>
    </w:p>
    <w:p w14:paraId="4AB66DB0" w14:textId="77777777" w:rsidR="0095633E" w:rsidRPr="0072546F" w:rsidRDefault="0095633E" w:rsidP="0095633E">
      <w:pPr>
        <w:spacing w:after="0" w:line="240" w:lineRule="auto"/>
        <w:jc w:val="center"/>
        <w:rPr>
          <w:rFonts w:ascii="Times New Roman" w:eastAsia="Times New Roman" w:hAnsi="Times New Roman"/>
          <w:b/>
          <w:bCs/>
          <w:color w:val="000000"/>
          <w:sz w:val="24"/>
          <w:szCs w:val="24"/>
          <w:lang w:val="en-GB"/>
        </w:rPr>
      </w:pPr>
      <w:r w:rsidRPr="0072546F">
        <w:rPr>
          <w:rFonts w:ascii="Times New Roman" w:eastAsia="Times New Roman" w:hAnsi="Times New Roman"/>
          <w:b/>
          <w:bCs/>
          <w:color w:val="000000"/>
          <w:sz w:val="24"/>
          <w:szCs w:val="24"/>
          <w:lang w:val="en-GB"/>
        </w:rPr>
        <w:t>How to calculate certain indicators:</w:t>
      </w:r>
    </w:p>
    <w:p w14:paraId="539AC451" w14:textId="77777777" w:rsidR="0095633E" w:rsidRPr="0072546F" w:rsidRDefault="0095633E" w:rsidP="0095633E">
      <w:pPr>
        <w:spacing w:after="0" w:line="240" w:lineRule="auto"/>
        <w:jc w:val="center"/>
        <w:rPr>
          <w:rFonts w:ascii="Times New Roman" w:eastAsia="Times New Roman" w:hAnsi="Times New Roman"/>
          <w:b/>
          <w:bCs/>
          <w:color w:val="000000"/>
          <w:sz w:val="24"/>
          <w:szCs w:val="24"/>
          <w:lang w:val="en-GB"/>
        </w:rPr>
      </w:pPr>
    </w:p>
    <w:p w14:paraId="736A26EC" w14:textId="77777777" w:rsidR="0095633E" w:rsidRPr="0072546F" w:rsidRDefault="0095633E" w:rsidP="0095633E">
      <w:pPr>
        <w:spacing w:after="0" w:line="240" w:lineRule="auto"/>
        <w:ind w:firstLine="567"/>
        <w:jc w:val="both"/>
        <w:rPr>
          <w:rFonts w:ascii="Times New Roman" w:eastAsia="Times New Roman" w:hAnsi="Times New Roman"/>
          <w:color w:val="000000"/>
          <w:sz w:val="24"/>
          <w:szCs w:val="24"/>
          <w:lang w:val="en-GB"/>
        </w:rPr>
      </w:pPr>
      <w:r w:rsidRPr="0072546F">
        <w:rPr>
          <w:rFonts w:ascii="Times New Roman" w:eastAsia="Times New Roman" w:hAnsi="Times New Roman"/>
          <w:color w:val="000000"/>
          <w:sz w:val="24"/>
          <w:szCs w:val="24"/>
          <w:vertAlign w:val="superscript"/>
          <w:lang w:val="en-GB"/>
        </w:rPr>
        <w:t>1</w:t>
      </w:r>
      <w:r w:rsidRPr="0072546F">
        <w:rPr>
          <w:rFonts w:ascii="Times New Roman" w:eastAsia="Times New Roman" w:hAnsi="Times New Roman"/>
          <w:color w:val="000000"/>
          <w:sz w:val="24"/>
          <w:szCs w:val="24"/>
          <w:lang w:val="en-GB"/>
        </w:rPr>
        <w:t xml:space="preserve"> </w:t>
      </w:r>
      <w:r w:rsidRPr="0072546F">
        <w:rPr>
          <w:rFonts w:ascii="Times New Roman" w:eastAsia="Times New Roman" w:hAnsi="Times New Roman"/>
          <w:i/>
          <w:color w:val="000000"/>
          <w:sz w:val="24"/>
          <w:szCs w:val="24"/>
          <w:lang w:val="en-GB"/>
        </w:rPr>
        <w:t>the</w:t>
      </w:r>
      <w:r w:rsidRPr="0072546F">
        <w:rPr>
          <w:rFonts w:ascii="Times New Roman" w:eastAsia="Times New Roman" w:hAnsi="Times New Roman"/>
          <w:color w:val="000000"/>
          <w:sz w:val="24"/>
          <w:szCs w:val="24"/>
          <w:lang w:val="en-GB"/>
        </w:rPr>
        <w:t xml:space="preserve"> </w:t>
      </w:r>
      <w:r w:rsidRPr="0072546F">
        <w:rPr>
          <w:rFonts w:ascii="Times New Roman" w:eastAsia="Times New Roman" w:hAnsi="Times New Roman"/>
          <w:i/>
          <w:iCs/>
          <w:color w:val="000000"/>
          <w:sz w:val="24"/>
          <w:szCs w:val="24"/>
          <w:lang w:val="en-GB"/>
        </w:rPr>
        <w:t xml:space="preserve">calculated but unreserved </w:t>
      </w:r>
      <w:proofErr w:type="gramStart"/>
      <w:r w:rsidRPr="0072546F">
        <w:rPr>
          <w:rFonts w:ascii="Times New Roman" w:eastAsia="Times New Roman" w:hAnsi="Times New Roman"/>
          <w:i/>
          <w:iCs/>
          <w:color w:val="000000"/>
          <w:sz w:val="24"/>
          <w:szCs w:val="24"/>
          <w:lang w:val="en-GB"/>
        </w:rPr>
        <w:t>amount</w:t>
      </w:r>
      <w:proofErr w:type="gramEnd"/>
      <w:r w:rsidRPr="0072546F">
        <w:rPr>
          <w:rFonts w:ascii="Times New Roman" w:eastAsia="Times New Roman" w:hAnsi="Times New Roman"/>
          <w:i/>
          <w:iCs/>
          <w:color w:val="000000"/>
          <w:sz w:val="24"/>
          <w:szCs w:val="24"/>
          <w:lang w:val="en-GB"/>
        </w:rPr>
        <w:t xml:space="preserve"> of allowances for impairment losses on assets and conditional commitments </w:t>
      </w:r>
      <w:r w:rsidRPr="0072546F">
        <w:rPr>
          <w:rFonts w:ascii="Times New Roman" w:eastAsia="Times New Roman" w:hAnsi="Times New Roman"/>
          <w:iCs/>
          <w:color w:val="000000"/>
          <w:sz w:val="24"/>
          <w:szCs w:val="24"/>
          <w:lang w:val="en-GB"/>
        </w:rPr>
        <w:t xml:space="preserve">represents the difference between the allowances calculated for losses on assets and conditional commitments and the allowances for impairment losses on assets and conditional commitments, according to </w:t>
      </w:r>
      <w:proofErr w:type="gramStart"/>
      <w:r w:rsidRPr="0072546F">
        <w:rPr>
          <w:rFonts w:ascii="Times New Roman" w:eastAsia="Times New Roman" w:hAnsi="Times New Roman"/>
          <w:iCs/>
          <w:color w:val="000000"/>
          <w:sz w:val="24"/>
          <w:szCs w:val="24"/>
          <w:lang w:val="en-GB"/>
        </w:rPr>
        <w:t>IFRS;</w:t>
      </w:r>
      <w:proofErr w:type="gramEnd"/>
    </w:p>
    <w:p w14:paraId="4A642139" w14:textId="77777777" w:rsidR="0095633E" w:rsidRPr="0072546F" w:rsidRDefault="0095633E" w:rsidP="0095633E">
      <w:pPr>
        <w:spacing w:after="0" w:line="240" w:lineRule="auto"/>
        <w:ind w:firstLine="567"/>
        <w:jc w:val="both"/>
        <w:rPr>
          <w:rFonts w:ascii="Times New Roman" w:eastAsia="Times New Roman" w:hAnsi="Times New Roman"/>
          <w:iCs/>
          <w:color w:val="000000"/>
          <w:sz w:val="24"/>
          <w:szCs w:val="24"/>
          <w:lang w:val="en-GB"/>
        </w:rPr>
      </w:pPr>
      <w:r w:rsidRPr="0072546F">
        <w:rPr>
          <w:rFonts w:ascii="Times New Roman" w:eastAsia="Times New Roman" w:hAnsi="Times New Roman"/>
          <w:color w:val="000000"/>
          <w:sz w:val="24"/>
          <w:szCs w:val="24"/>
          <w:vertAlign w:val="superscript"/>
          <w:lang w:val="en-GB"/>
        </w:rPr>
        <w:t>2</w:t>
      </w:r>
      <w:r w:rsidRPr="0072546F">
        <w:rPr>
          <w:rFonts w:ascii="Times New Roman" w:eastAsia="Times New Roman" w:hAnsi="Times New Roman"/>
          <w:color w:val="000000"/>
          <w:sz w:val="24"/>
          <w:szCs w:val="24"/>
          <w:lang w:val="en-GB"/>
        </w:rPr>
        <w:t xml:space="preserve"> </w:t>
      </w:r>
      <w:r w:rsidRPr="0072546F">
        <w:rPr>
          <w:rFonts w:ascii="Times New Roman" w:eastAsia="Times New Roman" w:hAnsi="Times New Roman"/>
          <w:i/>
          <w:iCs/>
          <w:color w:val="000000"/>
          <w:sz w:val="24"/>
          <w:szCs w:val="24"/>
          <w:lang w:val="en-GB"/>
        </w:rPr>
        <w:t xml:space="preserve">the level of capital impairment </w:t>
      </w:r>
      <w:r w:rsidRPr="0072546F">
        <w:rPr>
          <w:rFonts w:ascii="Times New Roman" w:eastAsia="Times New Roman" w:hAnsi="Times New Roman"/>
          <w:iCs/>
          <w:color w:val="000000"/>
          <w:sz w:val="24"/>
          <w:szCs w:val="24"/>
          <w:lang w:val="en-GB"/>
        </w:rPr>
        <w:t xml:space="preserve">represents the difference between the value of the calculated </w:t>
      </w:r>
      <w:proofErr w:type="gramStart"/>
      <w:r w:rsidRPr="0072546F">
        <w:rPr>
          <w:rFonts w:ascii="Times New Roman" w:eastAsia="Times New Roman" w:hAnsi="Times New Roman"/>
          <w:iCs/>
          <w:color w:val="000000"/>
          <w:sz w:val="24"/>
          <w:szCs w:val="24"/>
          <w:lang w:val="en-GB"/>
        </w:rPr>
        <w:t>amount</w:t>
      </w:r>
      <w:proofErr w:type="gramEnd"/>
      <w:r w:rsidRPr="0072546F">
        <w:rPr>
          <w:rFonts w:ascii="Times New Roman" w:eastAsia="Times New Roman" w:hAnsi="Times New Roman"/>
          <w:iCs/>
          <w:color w:val="000000"/>
          <w:sz w:val="24"/>
          <w:szCs w:val="24"/>
          <w:lang w:val="en-GB"/>
        </w:rPr>
        <w:t xml:space="preserve"> of allowances for losses on assets and conditional commitments and the balance of non-performing assets and liabilities divided by Equity Tier 1 capital and multiplied by </w:t>
      </w:r>
      <w:proofErr w:type="gramStart"/>
      <w:r w:rsidRPr="0072546F">
        <w:rPr>
          <w:rFonts w:ascii="Times New Roman" w:eastAsia="Times New Roman" w:hAnsi="Times New Roman"/>
          <w:iCs/>
          <w:color w:val="000000"/>
          <w:sz w:val="24"/>
          <w:szCs w:val="24"/>
          <w:lang w:val="en-GB"/>
        </w:rPr>
        <w:t>100;</w:t>
      </w:r>
      <w:proofErr w:type="gramEnd"/>
    </w:p>
    <w:p w14:paraId="7E5B5A59" w14:textId="77777777" w:rsidR="0095633E" w:rsidRPr="0072546F" w:rsidRDefault="0095633E" w:rsidP="0095633E">
      <w:pPr>
        <w:spacing w:after="0" w:line="240" w:lineRule="auto"/>
        <w:ind w:firstLine="567"/>
        <w:jc w:val="both"/>
        <w:rPr>
          <w:rFonts w:ascii="Times New Roman" w:eastAsia="Times New Roman" w:hAnsi="Times New Roman"/>
          <w:lang w:eastAsia="ro-MD"/>
        </w:rPr>
      </w:pPr>
      <w:r w:rsidRPr="005C2726">
        <w:rPr>
          <w:rFonts w:ascii="Times New Roman" w:eastAsia="Times New Roman" w:hAnsi="Times New Roman"/>
          <w:i/>
          <w:iCs/>
          <w:vertAlign w:val="superscript"/>
          <w:lang w:eastAsia="ro-MD"/>
        </w:rPr>
        <w:t>2a</w:t>
      </w:r>
      <w:r w:rsidRPr="0072546F">
        <w:rPr>
          <w:rStyle w:val="Strong"/>
        </w:rPr>
        <w:t xml:space="preserve"> </w:t>
      </w:r>
      <w:r w:rsidRPr="0072546F">
        <w:rPr>
          <w:rFonts w:ascii="Times New Roman" w:eastAsia="Times New Roman" w:hAnsi="Times New Roman"/>
          <w:i/>
          <w:iCs/>
          <w:color w:val="000000"/>
          <w:sz w:val="24"/>
          <w:szCs w:val="24"/>
          <w:lang w:val="en-GB"/>
        </w:rPr>
        <w:t>the leverage ratio indicator</w:t>
      </w:r>
      <w:r w:rsidRPr="0072546F">
        <w:rPr>
          <w:rFonts w:ascii="Times New Roman" w:eastAsia="Times New Roman" w:hAnsi="Times New Roman"/>
          <w:iCs/>
          <w:color w:val="000000"/>
          <w:sz w:val="24"/>
          <w:szCs w:val="24"/>
          <w:lang w:val="en-GB"/>
        </w:rPr>
        <w:t xml:space="preserve"> shall be calculated by dividing the bank's capital measure indicator by the bank's total exposure measure indicator and shall be expressed as a percentage, in accordance </w:t>
      </w:r>
      <w:r w:rsidRPr="0072546F">
        <w:rPr>
          <w:rFonts w:ascii="Times New Roman" w:eastAsia="Times New Roman" w:hAnsi="Times New Roman"/>
          <w:iCs/>
          <w:color w:val="000000"/>
          <w:sz w:val="24"/>
          <w:szCs w:val="24"/>
          <w:lang w:val="en-GB"/>
        </w:rPr>
        <w:lastRenderedPageBreak/>
        <w:t>with the Regulation on leverage, approved by Decision No. 176/2025 of the Executive Board of the National Bank of Moldova.</w:t>
      </w:r>
    </w:p>
    <w:p w14:paraId="11A615F3" w14:textId="77777777" w:rsidR="0095633E" w:rsidRPr="0072546F" w:rsidRDefault="0095633E" w:rsidP="0095633E">
      <w:pPr>
        <w:spacing w:after="0" w:line="240" w:lineRule="auto"/>
        <w:ind w:firstLine="567"/>
        <w:jc w:val="both"/>
        <w:rPr>
          <w:rFonts w:ascii="Times New Roman" w:eastAsia="Times New Roman" w:hAnsi="Times New Roman"/>
          <w:color w:val="000000"/>
          <w:sz w:val="24"/>
          <w:szCs w:val="24"/>
          <w:lang w:val="en-GB"/>
        </w:rPr>
      </w:pPr>
      <w:r w:rsidRPr="0072546F">
        <w:rPr>
          <w:rFonts w:ascii="Times New Roman" w:eastAsia="Times New Roman" w:hAnsi="Times New Roman"/>
          <w:color w:val="000000"/>
          <w:sz w:val="24"/>
          <w:szCs w:val="24"/>
          <w:vertAlign w:val="superscript"/>
          <w:lang w:val="en-GB"/>
        </w:rPr>
        <w:t>3</w:t>
      </w:r>
      <w:r w:rsidRPr="0072546F">
        <w:rPr>
          <w:rFonts w:ascii="Times New Roman" w:eastAsia="Times New Roman" w:hAnsi="Times New Roman"/>
          <w:color w:val="000000"/>
          <w:sz w:val="24"/>
          <w:szCs w:val="24"/>
          <w:lang w:val="en-GB"/>
        </w:rPr>
        <w:t xml:space="preserve"> </w:t>
      </w:r>
      <w:r w:rsidRPr="0072546F">
        <w:rPr>
          <w:rFonts w:ascii="Times New Roman" w:eastAsia="Times New Roman" w:hAnsi="Times New Roman"/>
          <w:i/>
          <w:color w:val="000000"/>
          <w:sz w:val="24"/>
          <w:szCs w:val="24"/>
          <w:lang w:val="en-GB"/>
        </w:rPr>
        <w:t>the</w:t>
      </w:r>
      <w:r w:rsidRPr="0072546F">
        <w:rPr>
          <w:rFonts w:ascii="Times New Roman" w:eastAsia="Times New Roman" w:hAnsi="Times New Roman"/>
          <w:color w:val="000000"/>
          <w:sz w:val="24"/>
          <w:szCs w:val="24"/>
          <w:lang w:val="en-GB"/>
        </w:rPr>
        <w:t xml:space="preserve"> </w:t>
      </w:r>
      <w:r w:rsidRPr="0072546F">
        <w:rPr>
          <w:rFonts w:ascii="Times New Roman" w:eastAsia="Times New Roman" w:hAnsi="Times New Roman"/>
          <w:i/>
          <w:iCs/>
          <w:color w:val="000000"/>
          <w:sz w:val="24"/>
          <w:szCs w:val="24"/>
          <w:lang w:val="en-GB"/>
        </w:rPr>
        <w:t xml:space="preserve">funds due from banks, excluding the National Bank of Moldova </w:t>
      </w:r>
      <w:r w:rsidRPr="0072546F">
        <w:rPr>
          <w:rFonts w:ascii="Times New Roman" w:eastAsia="Times New Roman" w:hAnsi="Times New Roman"/>
          <w:iCs/>
          <w:color w:val="000000"/>
          <w:sz w:val="24"/>
          <w:szCs w:val="24"/>
          <w:lang w:val="en-GB"/>
        </w:rPr>
        <w:t xml:space="preserve">(principal amount) are funds registered in “Nostro” accounts in banks, funds placed overnight, placements-guarantees in banks, funds placed on term in banks and loans granted to </w:t>
      </w:r>
      <w:proofErr w:type="gramStart"/>
      <w:r w:rsidRPr="0072546F">
        <w:rPr>
          <w:rFonts w:ascii="Times New Roman" w:eastAsia="Times New Roman" w:hAnsi="Times New Roman"/>
          <w:iCs/>
          <w:color w:val="000000"/>
          <w:sz w:val="24"/>
          <w:szCs w:val="24"/>
          <w:lang w:val="en-GB"/>
        </w:rPr>
        <w:t>banks;</w:t>
      </w:r>
      <w:proofErr w:type="gramEnd"/>
    </w:p>
    <w:p w14:paraId="2BA4CA72" w14:textId="77777777" w:rsidR="0095633E" w:rsidRPr="0072546F" w:rsidRDefault="0095633E" w:rsidP="0095633E">
      <w:pPr>
        <w:spacing w:after="0" w:line="240" w:lineRule="auto"/>
        <w:ind w:firstLine="567"/>
        <w:jc w:val="both"/>
        <w:rPr>
          <w:rFonts w:ascii="Times New Roman" w:eastAsia="Times New Roman" w:hAnsi="Times New Roman"/>
          <w:color w:val="000000"/>
          <w:sz w:val="24"/>
          <w:szCs w:val="24"/>
          <w:lang w:val="en-GB"/>
        </w:rPr>
      </w:pPr>
      <w:r w:rsidRPr="0072546F">
        <w:rPr>
          <w:rFonts w:ascii="Times New Roman" w:eastAsia="Times New Roman" w:hAnsi="Times New Roman"/>
          <w:color w:val="000000"/>
          <w:sz w:val="24"/>
          <w:szCs w:val="24"/>
          <w:vertAlign w:val="superscript"/>
          <w:lang w:val="en-GB"/>
        </w:rPr>
        <w:t>4</w:t>
      </w:r>
      <w:r w:rsidRPr="0072546F">
        <w:rPr>
          <w:rFonts w:ascii="Times New Roman" w:eastAsia="Times New Roman" w:hAnsi="Times New Roman"/>
          <w:color w:val="000000"/>
          <w:sz w:val="24"/>
          <w:szCs w:val="24"/>
          <w:lang w:val="en-GB"/>
        </w:rPr>
        <w:t xml:space="preserve"> </w:t>
      </w:r>
      <w:r w:rsidRPr="0072546F">
        <w:rPr>
          <w:rFonts w:ascii="Times New Roman" w:eastAsia="Times New Roman" w:hAnsi="Times New Roman"/>
          <w:i/>
          <w:iCs/>
          <w:color w:val="000000"/>
          <w:sz w:val="24"/>
          <w:szCs w:val="24"/>
          <w:lang w:val="en-GB"/>
        </w:rPr>
        <w:t xml:space="preserve">the funds due from foreign banks </w:t>
      </w:r>
      <w:r w:rsidRPr="0072546F">
        <w:rPr>
          <w:rFonts w:ascii="Times New Roman" w:eastAsia="Times New Roman" w:hAnsi="Times New Roman"/>
          <w:iCs/>
          <w:color w:val="000000"/>
          <w:sz w:val="24"/>
          <w:szCs w:val="24"/>
          <w:lang w:val="en-GB"/>
        </w:rPr>
        <w:t xml:space="preserve">(principal amount) represent the funds registered in the “Nostro” accounts in foreign banks, funds placed overnight, placements-guarantees in foreign banks, funds placed on term in foreign banks and loans granted to foreign </w:t>
      </w:r>
      <w:proofErr w:type="gramStart"/>
      <w:r w:rsidRPr="0072546F">
        <w:rPr>
          <w:rFonts w:ascii="Times New Roman" w:eastAsia="Times New Roman" w:hAnsi="Times New Roman"/>
          <w:iCs/>
          <w:color w:val="000000"/>
          <w:sz w:val="24"/>
          <w:szCs w:val="24"/>
          <w:lang w:val="en-GB"/>
        </w:rPr>
        <w:t>banks;</w:t>
      </w:r>
      <w:proofErr w:type="gramEnd"/>
    </w:p>
    <w:p w14:paraId="6BF72F9C" w14:textId="77777777" w:rsidR="0095633E" w:rsidRPr="0072546F" w:rsidRDefault="0095633E" w:rsidP="0095633E">
      <w:pPr>
        <w:spacing w:after="0" w:line="240" w:lineRule="auto"/>
        <w:ind w:firstLine="567"/>
        <w:jc w:val="both"/>
        <w:rPr>
          <w:rFonts w:ascii="Times New Roman" w:eastAsia="Times New Roman" w:hAnsi="Times New Roman"/>
          <w:color w:val="000000"/>
          <w:sz w:val="24"/>
          <w:szCs w:val="24"/>
          <w:lang w:val="en-GB"/>
        </w:rPr>
      </w:pPr>
      <w:r w:rsidRPr="0072546F">
        <w:rPr>
          <w:rFonts w:ascii="Times New Roman" w:eastAsia="Times New Roman" w:hAnsi="Times New Roman"/>
          <w:color w:val="000000"/>
          <w:sz w:val="24"/>
          <w:szCs w:val="24"/>
          <w:vertAlign w:val="superscript"/>
          <w:lang w:val="en-GB"/>
        </w:rPr>
        <w:t>5</w:t>
      </w:r>
      <w:r w:rsidRPr="0072546F">
        <w:rPr>
          <w:rFonts w:ascii="Times New Roman" w:eastAsia="Times New Roman" w:hAnsi="Times New Roman"/>
          <w:color w:val="000000"/>
          <w:sz w:val="24"/>
          <w:szCs w:val="24"/>
          <w:lang w:val="en-GB"/>
        </w:rPr>
        <w:t xml:space="preserve"> </w:t>
      </w:r>
      <w:r w:rsidRPr="0072546F">
        <w:rPr>
          <w:rFonts w:ascii="Times New Roman" w:eastAsia="Times New Roman" w:hAnsi="Times New Roman"/>
          <w:i/>
          <w:iCs/>
          <w:color w:val="000000"/>
          <w:sz w:val="24"/>
          <w:szCs w:val="24"/>
          <w:lang w:val="en-GB"/>
        </w:rPr>
        <w:t xml:space="preserve">the balance of net non-performing credits (principal amount) / Total own funds </w:t>
      </w:r>
      <w:r w:rsidRPr="0072546F">
        <w:rPr>
          <w:rFonts w:ascii="Times New Roman" w:eastAsia="Times New Roman" w:hAnsi="Times New Roman"/>
          <w:iCs/>
          <w:color w:val="000000"/>
          <w:sz w:val="24"/>
          <w:szCs w:val="24"/>
          <w:lang w:val="en-GB"/>
        </w:rPr>
        <w:t>represents the difference between the balance of non-performing credits debt subject to classification according to the Regulation on classification of assets and conditional liabilities, approved by the Decision of the Board of Directors of the National Bank of Moldova no. 231/2011 (hereinafter Regulation no. 231/2011) and the amount of allowances calculated for losses on non-performing credits divided by the value of total own funds and multiplied by 100;</w:t>
      </w:r>
    </w:p>
    <w:p w14:paraId="04EA565B" w14:textId="77777777" w:rsidR="0095633E" w:rsidRPr="0072546F" w:rsidRDefault="0095633E" w:rsidP="0095633E">
      <w:pPr>
        <w:spacing w:after="0" w:line="240" w:lineRule="auto"/>
        <w:ind w:firstLine="567"/>
        <w:jc w:val="both"/>
        <w:rPr>
          <w:rFonts w:ascii="Times New Roman" w:eastAsia="Times New Roman" w:hAnsi="Times New Roman"/>
          <w:color w:val="000000"/>
          <w:sz w:val="24"/>
          <w:szCs w:val="24"/>
          <w:lang w:val="en-GB"/>
        </w:rPr>
      </w:pPr>
      <w:r w:rsidRPr="0072546F">
        <w:rPr>
          <w:rFonts w:ascii="Times New Roman" w:eastAsia="Times New Roman" w:hAnsi="Times New Roman"/>
          <w:color w:val="000000"/>
          <w:sz w:val="24"/>
          <w:szCs w:val="24"/>
          <w:vertAlign w:val="superscript"/>
          <w:lang w:val="en-GB"/>
        </w:rPr>
        <w:t>6</w:t>
      </w:r>
      <w:r w:rsidRPr="0072546F">
        <w:rPr>
          <w:rFonts w:ascii="Times New Roman" w:eastAsia="Times New Roman" w:hAnsi="Times New Roman"/>
          <w:color w:val="000000"/>
          <w:sz w:val="24"/>
          <w:szCs w:val="24"/>
          <w:lang w:val="en-GB"/>
        </w:rPr>
        <w:t xml:space="preserve"> </w:t>
      </w:r>
      <w:r w:rsidRPr="0072546F">
        <w:rPr>
          <w:rFonts w:ascii="Times New Roman" w:eastAsia="Times New Roman" w:hAnsi="Times New Roman"/>
          <w:i/>
          <w:iCs/>
          <w:color w:val="000000"/>
          <w:sz w:val="24"/>
          <w:szCs w:val="24"/>
          <w:lang w:val="en-GB"/>
        </w:rPr>
        <w:t xml:space="preserve">the balance of net non-performing assets, including credits / Total own funds </w:t>
      </w:r>
      <w:r w:rsidRPr="0072546F">
        <w:rPr>
          <w:rFonts w:ascii="Times New Roman" w:eastAsia="Times New Roman" w:hAnsi="Times New Roman"/>
          <w:iCs/>
          <w:color w:val="000000"/>
          <w:sz w:val="24"/>
          <w:szCs w:val="24"/>
          <w:lang w:val="en-GB"/>
        </w:rPr>
        <w:t xml:space="preserve">represents the difference between the balance of non-performing assets, including credits subject to classification according to Regulation no. 231/2011 and the </w:t>
      </w:r>
      <w:proofErr w:type="gramStart"/>
      <w:r w:rsidRPr="0072546F">
        <w:rPr>
          <w:rFonts w:ascii="Times New Roman" w:eastAsia="Times New Roman" w:hAnsi="Times New Roman"/>
          <w:iCs/>
          <w:color w:val="000000"/>
          <w:sz w:val="24"/>
          <w:szCs w:val="24"/>
          <w:lang w:val="en-GB"/>
        </w:rPr>
        <w:t>amount</w:t>
      </w:r>
      <w:proofErr w:type="gramEnd"/>
      <w:r w:rsidRPr="0072546F">
        <w:rPr>
          <w:rFonts w:ascii="Times New Roman" w:eastAsia="Times New Roman" w:hAnsi="Times New Roman"/>
          <w:iCs/>
          <w:color w:val="000000"/>
          <w:sz w:val="24"/>
          <w:szCs w:val="24"/>
          <w:lang w:val="en-GB"/>
        </w:rPr>
        <w:t xml:space="preserve"> of allowances calculated for losses on non-performing assets, including credits divided by the value of total own funds and multiplied by </w:t>
      </w:r>
      <w:proofErr w:type="gramStart"/>
      <w:r w:rsidRPr="0072546F">
        <w:rPr>
          <w:rFonts w:ascii="Times New Roman" w:eastAsia="Times New Roman" w:hAnsi="Times New Roman"/>
          <w:iCs/>
          <w:color w:val="000000"/>
          <w:sz w:val="24"/>
          <w:szCs w:val="24"/>
          <w:lang w:val="en-GB"/>
        </w:rPr>
        <w:t>100;</w:t>
      </w:r>
      <w:proofErr w:type="gramEnd"/>
    </w:p>
    <w:p w14:paraId="2CFF9D14" w14:textId="77777777" w:rsidR="0095633E" w:rsidRPr="0072546F" w:rsidRDefault="0095633E" w:rsidP="0095633E">
      <w:pPr>
        <w:spacing w:after="0" w:line="240" w:lineRule="auto"/>
        <w:ind w:firstLine="567"/>
        <w:jc w:val="both"/>
        <w:rPr>
          <w:rFonts w:ascii="Times New Roman" w:eastAsia="Times New Roman" w:hAnsi="Times New Roman"/>
          <w:color w:val="000000"/>
          <w:sz w:val="24"/>
          <w:szCs w:val="24"/>
          <w:lang w:val="en-GB"/>
        </w:rPr>
      </w:pPr>
      <w:r w:rsidRPr="0072546F">
        <w:rPr>
          <w:rFonts w:ascii="Times New Roman" w:eastAsia="Times New Roman" w:hAnsi="Times New Roman"/>
          <w:color w:val="000000"/>
          <w:sz w:val="24"/>
          <w:szCs w:val="24"/>
          <w:vertAlign w:val="superscript"/>
          <w:lang w:val="en-GB"/>
        </w:rPr>
        <w:t>7</w:t>
      </w:r>
      <w:r w:rsidRPr="0072546F">
        <w:rPr>
          <w:rFonts w:ascii="Times New Roman" w:eastAsia="Times New Roman" w:hAnsi="Times New Roman"/>
          <w:color w:val="000000"/>
          <w:sz w:val="24"/>
          <w:szCs w:val="24"/>
          <w:lang w:val="en-GB"/>
        </w:rPr>
        <w:t xml:space="preserve"> </w:t>
      </w:r>
      <w:r w:rsidRPr="0072546F">
        <w:rPr>
          <w:rFonts w:ascii="Times New Roman" w:eastAsia="Times New Roman" w:hAnsi="Times New Roman"/>
          <w:i/>
          <w:iCs/>
          <w:color w:val="000000"/>
          <w:sz w:val="24"/>
          <w:szCs w:val="24"/>
          <w:lang w:val="en-GB"/>
        </w:rPr>
        <w:t xml:space="preserve">The monthly average value of interest-bearing assets / The monthly average value of assets </w:t>
      </w:r>
      <w:r w:rsidRPr="0072546F">
        <w:rPr>
          <w:rFonts w:ascii="Times New Roman" w:eastAsia="Times New Roman" w:hAnsi="Times New Roman"/>
          <w:iCs/>
          <w:color w:val="000000"/>
          <w:sz w:val="24"/>
          <w:szCs w:val="24"/>
          <w:lang w:val="en-GB"/>
        </w:rPr>
        <w:t>represents: The monthly average value of interest-bearing assets, which represents the principal amount of all bank assets (excluding interest, value adjustments and allowances for impairment losses on those assets) that generate interest income, reflected in the bank's daily balance sheets for the reporting month divided by the number of calendar days in the reporting month divided by the monthly average value of assets calculated as the sum of assets in the bank's daily balance sheets (not taking into account value adjustments and allowances for impairment losses (loss of value)) divided by the number of calendar days in the reporting month and multiplied by 100;</w:t>
      </w:r>
    </w:p>
    <w:p w14:paraId="6539CEB2" w14:textId="77777777" w:rsidR="0095633E" w:rsidRPr="0072546F" w:rsidRDefault="0095633E" w:rsidP="0095633E">
      <w:pPr>
        <w:spacing w:after="0" w:line="240" w:lineRule="auto"/>
        <w:ind w:firstLine="567"/>
        <w:jc w:val="both"/>
        <w:rPr>
          <w:rFonts w:ascii="Times New Roman" w:eastAsia="Times New Roman" w:hAnsi="Times New Roman"/>
          <w:color w:val="000000"/>
          <w:sz w:val="24"/>
          <w:szCs w:val="24"/>
          <w:lang w:val="en-GB"/>
        </w:rPr>
      </w:pPr>
      <w:r w:rsidRPr="0072546F">
        <w:rPr>
          <w:rFonts w:ascii="Times New Roman" w:eastAsia="Times New Roman" w:hAnsi="Times New Roman"/>
          <w:color w:val="000000"/>
          <w:sz w:val="24"/>
          <w:szCs w:val="24"/>
          <w:vertAlign w:val="superscript"/>
          <w:lang w:val="en-GB"/>
        </w:rPr>
        <w:t xml:space="preserve"> 8</w:t>
      </w:r>
      <w:r w:rsidRPr="0072546F">
        <w:rPr>
          <w:rFonts w:ascii="Times New Roman" w:eastAsia="Times New Roman" w:hAnsi="Times New Roman"/>
          <w:color w:val="000000"/>
          <w:sz w:val="24"/>
          <w:szCs w:val="24"/>
          <w:lang w:val="en-GB"/>
        </w:rPr>
        <w:t xml:space="preserve"> </w:t>
      </w:r>
      <w:r w:rsidRPr="0072546F">
        <w:rPr>
          <w:rFonts w:ascii="Times New Roman" w:eastAsia="Times New Roman" w:hAnsi="Times New Roman"/>
          <w:i/>
          <w:iCs/>
          <w:color w:val="000000"/>
          <w:sz w:val="24"/>
          <w:szCs w:val="24"/>
          <w:lang w:val="en-GB"/>
        </w:rPr>
        <w:t xml:space="preserve">the return on assets (ROA) </w:t>
      </w:r>
      <w:r w:rsidRPr="0072546F">
        <w:rPr>
          <w:rFonts w:ascii="Times New Roman" w:eastAsia="Times New Roman" w:hAnsi="Times New Roman"/>
          <w:iCs/>
          <w:color w:val="000000"/>
          <w:sz w:val="24"/>
          <w:szCs w:val="24"/>
          <w:lang w:val="en-GB"/>
        </w:rPr>
        <w:t>is the profit or loss for the year during the reporting period (</w:t>
      </w:r>
      <w:proofErr w:type="spellStart"/>
      <w:r w:rsidRPr="0072546F">
        <w:rPr>
          <w:rFonts w:ascii="Times New Roman" w:eastAsia="Times New Roman" w:hAnsi="Times New Roman"/>
          <w:iCs/>
          <w:color w:val="000000"/>
          <w:sz w:val="24"/>
          <w:szCs w:val="24"/>
          <w:lang w:val="en-GB"/>
        </w:rPr>
        <w:t>Pnet</w:t>
      </w:r>
      <w:proofErr w:type="spellEnd"/>
      <w:r w:rsidRPr="0072546F">
        <w:rPr>
          <w:rFonts w:ascii="Times New Roman" w:eastAsia="Times New Roman" w:hAnsi="Times New Roman"/>
          <w:iCs/>
          <w:color w:val="000000"/>
          <w:sz w:val="24"/>
          <w:szCs w:val="24"/>
          <w:lang w:val="en-GB"/>
        </w:rPr>
        <w:t>) divided by the number of months reported (N), multiplied by 12, divided by the average assets for the reporting period (Am) and multiplied by 100 (ROA=(((</w:t>
      </w:r>
      <w:proofErr w:type="spellStart"/>
      <w:r w:rsidRPr="0072546F">
        <w:rPr>
          <w:rFonts w:ascii="Times New Roman" w:eastAsia="Times New Roman" w:hAnsi="Times New Roman"/>
          <w:iCs/>
          <w:color w:val="000000"/>
          <w:sz w:val="24"/>
          <w:szCs w:val="24"/>
          <w:lang w:val="en-GB"/>
        </w:rPr>
        <w:t>Pnet</w:t>
      </w:r>
      <w:proofErr w:type="spellEnd"/>
      <w:r w:rsidRPr="0072546F">
        <w:rPr>
          <w:rFonts w:ascii="Times New Roman" w:eastAsia="Times New Roman" w:hAnsi="Times New Roman"/>
          <w:iCs/>
          <w:color w:val="000000"/>
          <w:sz w:val="24"/>
          <w:szCs w:val="24"/>
          <w:lang w:val="en-GB"/>
        </w:rPr>
        <w:t>)/Nx12)/</w:t>
      </w:r>
      <w:proofErr w:type="gramStart"/>
      <w:r w:rsidRPr="0072546F">
        <w:rPr>
          <w:rFonts w:ascii="Times New Roman" w:eastAsia="Times New Roman" w:hAnsi="Times New Roman"/>
          <w:iCs/>
          <w:color w:val="000000"/>
          <w:sz w:val="24"/>
          <w:szCs w:val="24"/>
          <w:lang w:val="en-GB"/>
        </w:rPr>
        <w:t>Am)x</w:t>
      </w:r>
      <w:proofErr w:type="gramEnd"/>
      <w:r w:rsidRPr="0072546F">
        <w:rPr>
          <w:rFonts w:ascii="Times New Roman" w:eastAsia="Times New Roman" w:hAnsi="Times New Roman"/>
          <w:iCs/>
          <w:color w:val="000000"/>
          <w:sz w:val="24"/>
          <w:szCs w:val="24"/>
          <w:lang w:val="en-GB"/>
        </w:rPr>
        <w:t xml:space="preserve">100)). The average of the assets for the reporting period is calculated by summing the monthly average value of the assets for each reporting month (not </w:t>
      </w:r>
      <w:proofErr w:type="gramStart"/>
      <w:r w:rsidRPr="0072546F">
        <w:rPr>
          <w:rFonts w:ascii="Times New Roman" w:eastAsia="Times New Roman" w:hAnsi="Times New Roman"/>
          <w:iCs/>
          <w:color w:val="000000"/>
          <w:sz w:val="24"/>
          <w:szCs w:val="24"/>
          <w:lang w:val="en-GB"/>
        </w:rPr>
        <w:t>taking into account</w:t>
      </w:r>
      <w:proofErr w:type="gramEnd"/>
      <w:r w:rsidRPr="0072546F">
        <w:rPr>
          <w:rFonts w:ascii="Times New Roman" w:eastAsia="Times New Roman" w:hAnsi="Times New Roman"/>
          <w:iCs/>
          <w:color w:val="000000"/>
          <w:sz w:val="24"/>
          <w:szCs w:val="24"/>
          <w:lang w:val="en-GB"/>
        </w:rPr>
        <w:t xml:space="preserve"> the value adjustments and allowances for impairment losses (loss of value) on those assets) and dividing this amount by the number of months </w:t>
      </w:r>
      <w:proofErr w:type="gramStart"/>
      <w:r w:rsidRPr="0072546F">
        <w:rPr>
          <w:rFonts w:ascii="Times New Roman" w:eastAsia="Times New Roman" w:hAnsi="Times New Roman"/>
          <w:iCs/>
          <w:color w:val="000000"/>
          <w:sz w:val="24"/>
          <w:szCs w:val="24"/>
          <w:lang w:val="en-GB"/>
        </w:rPr>
        <w:t>reported;</w:t>
      </w:r>
      <w:proofErr w:type="gramEnd"/>
    </w:p>
    <w:p w14:paraId="75BB78F9" w14:textId="77777777" w:rsidR="0095633E" w:rsidRPr="0072546F" w:rsidRDefault="0095633E" w:rsidP="0095633E">
      <w:pPr>
        <w:spacing w:after="0" w:line="240" w:lineRule="auto"/>
        <w:ind w:firstLine="567"/>
        <w:jc w:val="both"/>
        <w:rPr>
          <w:rFonts w:ascii="Times New Roman" w:eastAsia="Times New Roman" w:hAnsi="Times New Roman"/>
          <w:color w:val="000000"/>
          <w:sz w:val="24"/>
          <w:szCs w:val="24"/>
          <w:lang w:val="en-GB"/>
        </w:rPr>
      </w:pPr>
      <w:r w:rsidRPr="0072546F">
        <w:rPr>
          <w:rFonts w:ascii="Times New Roman" w:eastAsia="Times New Roman" w:hAnsi="Times New Roman"/>
          <w:color w:val="000000"/>
          <w:sz w:val="24"/>
          <w:szCs w:val="24"/>
          <w:vertAlign w:val="superscript"/>
          <w:lang w:val="en-GB"/>
        </w:rPr>
        <w:t xml:space="preserve"> 9</w:t>
      </w:r>
      <w:r w:rsidRPr="0072546F">
        <w:rPr>
          <w:rFonts w:ascii="Times New Roman" w:eastAsia="Times New Roman" w:hAnsi="Times New Roman"/>
          <w:color w:val="000000"/>
          <w:sz w:val="24"/>
          <w:szCs w:val="24"/>
          <w:lang w:val="en-GB"/>
        </w:rPr>
        <w:t xml:space="preserve"> </w:t>
      </w:r>
      <w:r w:rsidRPr="0072546F">
        <w:rPr>
          <w:rFonts w:ascii="Times New Roman" w:eastAsia="Times New Roman" w:hAnsi="Times New Roman"/>
          <w:i/>
          <w:iCs/>
          <w:color w:val="000000"/>
          <w:sz w:val="24"/>
          <w:szCs w:val="24"/>
          <w:lang w:val="en-GB"/>
        </w:rPr>
        <w:t xml:space="preserve">the return on equity (ROE) </w:t>
      </w:r>
      <w:r w:rsidRPr="0072546F">
        <w:rPr>
          <w:rFonts w:ascii="Times New Roman" w:eastAsia="Times New Roman" w:hAnsi="Times New Roman"/>
          <w:iCs/>
          <w:color w:val="000000"/>
          <w:sz w:val="24"/>
          <w:szCs w:val="24"/>
          <w:lang w:val="en-GB"/>
        </w:rPr>
        <w:t>represents the profit or loss for the year during the reporting period (</w:t>
      </w:r>
      <w:proofErr w:type="spellStart"/>
      <w:r w:rsidRPr="0072546F">
        <w:rPr>
          <w:rFonts w:ascii="Times New Roman" w:eastAsia="Times New Roman" w:hAnsi="Times New Roman"/>
          <w:iCs/>
          <w:color w:val="000000"/>
          <w:sz w:val="24"/>
          <w:szCs w:val="24"/>
          <w:lang w:val="en-GB"/>
        </w:rPr>
        <w:t>Pnet</w:t>
      </w:r>
      <w:proofErr w:type="spellEnd"/>
      <w:r w:rsidRPr="0072546F">
        <w:rPr>
          <w:rFonts w:ascii="Times New Roman" w:eastAsia="Times New Roman" w:hAnsi="Times New Roman"/>
          <w:iCs/>
          <w:color w:val="000000"/>
          <w:sz w:val="24"/>
          <w:szCs w:val="24"/>
          <w:lang w:val="en-GB"/>
        </w:rPr>
        <w:t>) divided by the number of months reported (N), multiplied by 12, divided by the average capital for the reporting period (Cm) and multiplied by 100 (ROE = (((</w:t>
      </w:r>
      <w:proofErr w:type="spellStart"/>
      <w:r w:rsidRPr="0072546F">
        <w:rPr>
          <w:rFonts w:ascii="Times New Roman" w:eastAsia="Times New Roman" w:hAnsi="Times New Roman"/>
          <w:iCs/>
          <w:color w:val="000000"/>
          <w:sz w:val="24"/>
          <w:szCs w:val="24"/>
          <w:lang w:val="en-GB"/>
        </w:rPr>
        <w:t>Pnet</w:t>
      </w:r>
      <w:proofErr w:type="spellEnd"/>
      <w:r w:rsidRPr="0072546F">
        <w:rPr>
          <w:rFonts w:ascii="Times New Roman" w:eastAsia="Times New Roman" w:hAnsi="Times New Roman"/>
          <w:iCs/>
          <w:color w:val="000000"/>
          <w:sz w:val="24"/>
          <w:szCs w:val="24"/>
          <w:lang w:val="en-GB"/>
        </w:rPr>
        <w:t>) / Nx12) / Cm) x100)</w:t>
      </w:r>
      <w:proofErr w:type="gramStart"/>
      <w:r w:rsidRPr="0072546F">
        <w:rPr>
          <w:rFonts w:ascii="Times New Roman" w:eastAsia="Times New Roman" w:hAnsi="Times New Roman"/>
          <w:iCs/>
          <w:color w:val="000000"/>
          <w:sz w:val="24"/>
          <w:szCs w:val="24"/>
          <w:lang w:val="en-GB"/>
        </w:rPr>
        <w:t>);</w:t>
      </w:r>
      <w:proofErr w:type="gramEnd"/>
    </w:p>
    <w:p w14:paraId="341CE164" w14:textId="77777777" w:rsidR="0095633E" w:rsidRPr="0072546F" w:rsidRDefault="0095633E" w:rsidP="0095633E">
      <w:pPr>
        <w:spacing w:after="0" w:line="240" w:lineRule="auto"/>
        <w:ind w:firstLine="567"/>
        <w:jc w:val="both"/>
        <w:rPr>
          <w:rFonts w:ascii="Times New Roman" w:eastAsia="Times New Roman" w:hAnsi="Times New Roman"/>
          <w:color w:val="000000"/>
          <w:sz w:val="24"/>
          <w:szCs w:val="24"/>
          <w:lang w:val="en-GB"/>
        </w:rPr>
      </w:pPr>
      <w:r w:rsidRPr="0072546F">
        <w:rPr>
          <w:rFonts w:ascii="Times New Roman" w:eastAsia="Times New Roman" w:hAnsi="Times New Roman"/>
          <w:color w:val="000000"/>
          <w:sz w:val="24"/>
          <w:szCs w:val="24"/>
          <w:vertAlign w:val="superscript"/>
          <w:lang w:val="en-GB"/>
        </w:rPr>
        <w:t>10</w:t>
      </w:r>
      <w:r w:rsidRPr="0072546F">
        <w:rPr>
          <w:rFonts w:ascii="Times New Roman" w:eastAsia="Times New Roman" w:hAnsi="Times New Roman"/>
          <w:color w:val="000000"/>
          <w:sz w:val="24"/>
          <w:szCs w:val="24"/>
          <w:lang w:val="en-GB"/>
        </w:rPr>
        <w:t xml:space="preserve"> </w:t>
      </w:r>
      <w:r w:rsidRPr="0072546F">
        <w:rPr>
          <w:rFonts w:ascii="Times New Roman" w:eastAsia="Times New Roman" w:hAnsi="Times New Roman"/>
          <w:i/>
          <w:iCs/>
          <w:color w:val="000000"/>
          <w:sz w:val="24"/>
          <w:szCs w:val="24"/>
          <w:lang w:val="en-GB"/>
        </w:rPr>
        <w:t xml:space="preserve">the non-interest related expenditure / total income </w:t>
      </w:r>
      <w:r w:rsidRPr="0072546F">
        <w:rPr>
          <w:rFonts w:ascii="Times New Roman" w:eastAsia="Times New Roman" w:hAnsi="Times New Roman"/>
          <w:iCs/>
          <w:color w:val="000000"/>
          <w:sz w:val="24"/>
          <w:szCs w:val="24"/>
          <w:lang w:val="en-GB"/>
        </w:rPr>
        <w:t xml:space="preserve">represents non-interest related expenditure obtained for the reporting period divided by the total income obtained for the reporting period and multiplied by </w:t>
      </w:r>
      <w:proofErr w:type="gramStart"/>
      <w:r w:rsidRPr="0072546F">
        <w:rPr>
          <w:rFonts w:ascii="Times New Roman" w:eastAsia="Times New Roman" w:hAnsi="Times New Roman"/>
          <w:iCs/>
          <w:color w:val="000000"/>
          <w:sz w:val="24"/>
          <w:szCs w:val="24"/>
          <w:lang w:val="en-GB"/>
        </w:rPr>
        <w:t>100;</w:t>
      </w:r>
      <w:proofErr w:type="gramEnd"/>
    </w:p>
    <w:p w14:paraId="52FF99C3" w14:textId="77777777" w:rsidR="0095633E" w:rsidRPr="0072546F" w:rsidRDefault="0095633E" w:rsidP="0095633E">
      <w:pPr>
        <w:spacing w:after="0" w:line="240" w:lineRule="auto"/>
        <w:ind w:firstLine="567"/>
        <w:jc w:val="both"/>
        <w:rPr>
          <w:rFonts w:ascii="Times New Roman" w:eastAsia="Times New Roman" w:hAnsi="Times New Roman"/>
          <w:color w:val="000000"/>
          <w:sz w:val="24"/>
          <w:szCs w:val="24"/>
          <w:lang w:val="en-GB"/>
        </w:rPr>
      </w:pPr>
      <w:r w:rsidRPr="0072546F">
        <w:rPr>
          <w:rFonts w:ascii="Times New Roman" w:eastAsia="Times New Roman" w:hAnsi="Times New Roman"/>
          <w:color w:val="000000"/>
          <w:sz w:val="24"/>
          <w:szCs w:val="24"/>
          <w:vertAlign w:val="superscript"/>
          <w:lang w:val="en-GB"/>
        </w:rPr>
        <w:t>11</w:t>
      </w:r>
      <w:r w:rsidRPr="0072546F">
        <w:rPr>
          <w:rFonts w:ascii="Times New Roman" w:eastAsia="Times New Roman" w:hAnsi="Times New Roman"/>
          <w:color w:val="000000"/>
          <w:sz w:val="24"/>
          <w:szCs w:val="24"/>
          <w:lang w:val="en-GB"/>
        </w:rPr>
        <w:t xml:space="preserve"> </w:t>
      </w:r>
      <w:r w:rsidRPr="0072546F">
        <w:rPr>
          <w:rFonts w:ascii="Times New Roman" w:eastAsia="Times New Roman" w:hAnsi="Times New Roman"/>
          <w:i/>
          <w:iCs/>
          <w:color w:val="000000"/>
          <w:sz w:val="24"/>
          <w:szCs w:val="24"/>
          <w:lang w:val="en-GB"/>
        </w:rPr>
        <w:t xml:space="preserve">the interest-related income / average value of interest-bearing assets </w:t>
      </w:r>
      <w:r w:rsidRPr="0072546F">
        <w:rPr>
          <w:rFonts w:ascii="Times New Roman" w:eastAsia="Times New Roman" w:hAnsi="Times New Roman"/>
          <w:iCs/>
          <w:color w:val="000000"/>
          <w:sz w:val="24"/>
          <w:szCs w:val="24"/>
          <w:lang w:val="en-GB"/>
        </w:rPr>
        <w:t>represents interest income obtained for the management period (VD) divided by the number of reported months (N), multiplied by 12, divided by the average interest-bearing assets for the reporting period (</w:t>
      </w:r>
      <w:proofErr w:type="spellStart"/>
      <w:r w:rsidRPr="0072546F">
        <w:rPr>
          <w:rFonts w:ascii="Times New Roman" w:eastAsia="Times New Roman" w:hAnsi="Times New Roman"/>
          <w:iCs/>
          <w:color w:val="000000"/>
          <w:sz w:val="24"/>
          <w:szCs w:val="24"/>
          <w:lang w:val="en-GB"/>
        </w:rPr>
        <w:t>ADm</w:t>
      </w:r>
      <w:proofErr w:type="spellEnd"/>
      <w:r w:rsidRPr="0072546F">
        <w:rPr>
          <w:rFonts w:ascii="Times New Roman" w:eastAsia="Times New Roman" w:hAnsi="Times New Roman"/>
          <w:iCs/>
          <w:color w:val="000000"/>
          <w:sz w:val="24"/>
          <w:szCs w:val="24"/>
          <w:lang w:val="en-GB"/>
        </w:rPr>
        <w:t xml:space="preserve">) and multiplied by 100 ((VD / Nx12) / AGD) x100). The average of the interest-generating assets for the reporting period is calculated by summing the monthly average value of the interest-bearing assets for each reporting month and dividing this amount by the number of months </w:t>
      </w:r>
      <w:proofErr w:type="gramStart"/>
      <w:r w:rsidRPr="0072546F">
        <w:rPr>
          <w:rFonts w:ascii="Times New Roman" w:eastAsia="Times New Roman" w:hAnsi="Times New Roman"/>
          <w:iCs/>
          <w:color w:val="000000"/>
          <w:sz w:val="24"/>
          <w:szCs w:val="24"/>
          <w:lang w:val="en-GB"/>
        </w:rPr>
        <w:t>reported;</w:t>
      </w:r>
      <w:proofErr w:type="gramEnd"/>
    </w:p>
    <w:p w14:paraId="32BA9EEA" w14:textId="77777777" w:rsidR="0095633E" w:rsidRPr="0072546F" w:rsidRDefault="0095633E" w:rsidP="0095633E">
      <w:pPr>
        <w:spacing w:after="0" w:line="240" w:lineRule="auto"/>
        <w:ind w:firstLine="567"/>
        <w:jc w:val="both"/>
        <w:rPr>
          <w:rFonts w:ascii="Times New Roman" w:eastAsia="Times New Roman" w:hAnsi="Times New Roman"/>
          <w:color w:val="000000"/>
          <w:sz w:val="24"/>
          <w:szCs w:val="24"/>
          <w:lang w:val="en-GB"/>
        </w:rPr>
      </w:pPr>
      <w:r w:rsidRPr="0072546F">
        <w:rPr>
          <w:rFonts w:ascii="Times New Roman" w:eastAsia="Times New Roman" w:hAnsi="Times New Roman"/>
          <w:color w:val="000000"/>
          <w:sz w:val="24"/>
          <w:szCs w:val="24"/>
          <w:vertAlign w:val="superscript"/>
          <w:lang w:val="en-GB"/>
        </w:rPr>
        <w:t>12</w:t>
      </w:r>
      <w:r w:rsidRPr="0072546F">
        <w:rPr>
          <w:rFonts w:ascii="Times New Roman" w:eastAsia="Times New Roman" w:hAnsi="Times New Roman"/>
          <w:color w:val="000000"/>
          <w:sz w:val="24"/>
          <w:szCs w:val="24"/>
          <w:lang w:val="en-GB"/>
        </w:rPr>
        <w:t xml:space="preserve"> </w:t>
      </w:r>
      <w:r w:rsidRPr="0072546F">
        <w:rPr>
          <w:rFonts w:ascii="Times New Roman" w:eastAsia="Times New Roman" w:hAnsi="Times New Roman"/>
          <w:i/>
          <w:iCs/>
          <w:color w:val="000000"/>
          <w:sz w:val="24"/>
          <w:szCs w:val="24"/>
          <w:lang w:val="en-GB"/>
        </w:rPr>
        <w:t xml:space="preserve">the net interest margin (NIM) </w:t>
      </w:r>
      <w:r w:rsidRPr="0072546F">
        <w:rPr>
          <w:rFonts w:ascii="Times New Roman" w:eastAsia="Times New Roman" w:hAnsi="Times New Roman"/>
          <w:iCs/>
          <w:color w:val="000000"/>
          <w:sz w:val="24"/>
          <w:szCs w:val="24"/>
          <w:lang w:val="en-GB"/>
        </w:rPr>
        <w:t>represents the net interest income (interest income minus interest expenses) obtained for the reporting period (</w:t>
      </w:r>
      <w:proofErr w:type="spellStart"/>
      <w:r w:rsidRPr="0072546F">
        <w:rPr>
          <w:rFonts w:ascii="Times New Roman" w:eastAsia="Times New Roman" w:hAnsi="Times New Roman"/>
          <w:iCs/>
          <w:color w:val="000000"/>
          <w:sz w:val="24"/>
          <w:szCs w:val="24"/>
          <w:lang w:val="en-GB"/>
        </w:rPr>
        <w:t>Vnet</w:t>
      </w:r>
      <w:proofErr w:type="spellEnd"/>
      <w:r w:rsidRPr="0072546F">
        <w:rPr>
          <w:rFonts w:ascii="Times New Roman" w:eastAsia="Times New Roman" w:hAnsi="Times New Roman"/>
          <w:iCs/>
          <w:color w:val="000000"/>
          <w:sz w:val="24"/>
          <w:szCs w:val="24"/>
          <w:lang w:val="en-GB"/>
        </w:rPr>
        <w:t xml:space="preserve"> </w:t>
      </w:r>
      <w:proofErr w:type="spellStart"/>
      <w:proofErr w:type="gramStart"/>
      <w:r w:rsidRPr="0072546F">
        <w:rPr>
          <w:rFonts w:ascii="Times New Roman" w:eastAsia="Times New Roman" w:hAnsi="Times New Roman"/>
          <w:iCs/>
          <w:color w:val="000000"/>
          <w:sz w:val="24"/>
          <w:szCs w:val="24"/>
          <w:lang w:val="en-GB"/>
        </w:rPr>
        <w:t>af.d</w:t>
      </w:r>
      <w:proofErr w:type="spellEnd"/>
      <w:proofErr w:type="gramEnd"/>
      <w:r w:rsidRPr="0072546F">
        <w:rPr>
          <w:rFonts w:ascii="Times New Roman" w:eastAsia="Times New Roman" w:hAnsi="Times New Roman"/>
          <w:iCs/>
          <w:color w:val="000000"/>
          <w:sz w:val="24"/>
          <w:szCs w:val="24"/>
          <w:lang w:val="en-GB"/>
        </w:rPr>
        <w:t>) divided by the number of months reported (N), multiplied by 12, divided by the average of interest-bearing assets for the reporting period (AGD) and multiplied by 100 (NIM = (NIC / Nx12) / AGD) x100)). The average of the interest-</w:t>
      </w:r>
      <w:r w:rsidRPr="0072546F">
        <w:rPr>
          <w:rFonts w:ascii="Times New Roman" w:eastAsia="Times New Roman" w:hAnsi="Times New Roman"/>
          <w:iCs/>
          <w:color w:val="000000"/>
          <w:sz w:val="24"/>
          <w:szCs w:val="24"/>
          <w:lang w:val="en-GB"/>
        </w:rPr>
        <w:lastRenderedPageBreak/>
        <w:t xml:space="preserve">bearing assets for the reporting period is calculated by summing the monthly average value of the interest-bearing assets for each reporting month and dividing this amount by the number of months </w:t>
      </w:r>
      <w:proofErr w:type="gramStart"/>
      <w:r w:rsidRPr="0072546F">
        <w:rPr>
          <w:rFonts w:ascii="Times New Roman" w:eastAsia="Times New Roman" w:hAnsi="Times New Roman"/>
          <w:iCs/>
          <w:color w:val="000000"/>
          <w:sz w:val="24"/>
          <w:szCs w:val="24"/>
          <w:lang w:val="en-GB"/>
        </w:rPr>
        <w:t>reported;</w:t>
      </w:r>
      <w:proofErr w:type="gramEnd"/>
    </w:p>
    <w:p w14:paraId="3C6F3F04" w14:textId="77777777" w:rsidR="0095633E" w:rsidRPr="0072546F" w:rsidRDefault="0095633E" w:rsidP="0095633E">
      <w:pPr>
        <w:spacing w:after="0" w:line="240" w:lineRule="auto"/>
        <w:ind w:firstLine="567"/>
        <w:jc w:val="both"/>
        <w:rPr>
          <w:rFonts w:ascii="Times New Roman" w:eastAsia="Times New Roman" w:hAnsi="Times New Roman"/>
          <w:iCs/>
          <w:color w:val="000000"/>
          <w:sz w:val="24"/>
          <w:szCs w:val="24"/>
          <w:lang w:val="en-GB"/>
        </w:rPr>
      </w:pPr>
      <w:r w:rsidRPr="0072546F">
        <w:rPr>
          <w:rFonts w:ascii="Times New Roman" w:eastAsia="Times New Roman" w:hAnsi="Times New Roman"/>
          <w:color w:val="000000"/>
          <w:sz w:val="24"/>
          <w:szCs w:val="24"/>
          <w:vertAlign w:val="superscript"/>
          <w:lang w:val="en-GB"/>
        </w:rPr>
        <w:t>13</w:t>
      </w:r>
      <w:r w:rsidRPr="0072546F">
        <w:rPr>
          <w:rFonts w:ascii="Times New Roman" w:eastAsia="Times New Roman" w:hAnsi="Times New Roman"/>
          <w:color w:val="000000"/>
          <w:sz w:val="24"/>
          <w:szCs w:val="24"/>
          <w:lang w:val="en-GB"/>
        </w:rPr>
        <w:t xml:space="preserve"> </w:t>
      </w:r>
      <w:r w:rsidRPr="0072546F">
        <w:rPr>
          <w:rFonts w:ascii="Times New Roman" w:eastAsia="Times New Roman" w:hAnsi="Times New Roman"/>
          <w:i/>
          <w:iCs/>
          <w:color w:val="000000"/>
          <w:sz w:val="24"/>
          <w:szCs w:val="24"/>
          <w:lang w:val="en-GB"/>
        </w:rPr>
        <w:t xml:space="preserve">the efficiency ratio (ER) </w:t>
      </w:r>
      <w:r w:rsidRPr="0072546F">
        <w:rPr>
          <w:rFonts w:ascii="Times New Roman" w:eastAsia="Times New Roman" w:hAnsi="Times New Roman"/>
          <w:iCs/>
          <w:color w:val="000000"/>
          <w:sz w:val="24"/>
          <w:szCs w:val="24"/>
          <w:lang w:val="en-GB"/>
        </w:rPr>
        <w:t>represents: the net interest income (</w:t>
      </w:r>
      <w:proofErr w:type="spellStart"/>
      <w:r w:rsidRPr="0072546F">
        <w:rPr>
          <w:rFonts w:ascii="Times New Roman" w:eastAsia="Times New Roman" w:hAnsi="Times New Roman"/>
          <w:iCs/>
          <w:color w:val="000000"/>
          <w:sz w:val="24"/>
          <w:szCs w:val="24"/>
          <w:lang w:val="en-GB"/>
        </w:rPr>
        <w:t>Vnet</w:t>
      </w:r>
      <w:proofErr w:type="spellEnd"/>
      <w:r w:rsidRPr="0072546F">
        <w:rPr>
          <w:rFonts w:ascii="Times New Roman" w:eastAsia="Times New Roman" w:hAnsi="Times New Roman"/>
          <w:iCs/>
          <w:color w:val="000000"/>
          <w:sz w:val="24"/>
          <w:szCs w:val="24"/>
          <w:lang w:val="en-GB"/>
        </w:rPr>
        <w:t xml:space="preserve"> </w:t>
      </w:r>
      <w:proofErr w:type="spellStart"/>
      <w:proofErr w:type="gramStart"/>
      <w:r w:rsidRPr="0072546F">
        <w:rPr>
          <w:rFonts w:ascii="Times New Roman" w:eastAsia="Times New Roman" w:hAnsi="Times New Roman"/>
          <w:iCs/>
          <w:color w:val="000000"/>
          <w:sz w:val="24"/>
          <w:szCs w:val="24"/>
          <w:lang w:val="en-GB"/>
        </w:rPr>
        <w:t>af.d</w:t>
      </w:r>
      <w:proofErr w:type="spellEnd"/>
      <w:proofErr w:type="gramEnd"/>
      <w:r w:rsidRPr="0072546F">
        <w:rPr>
          <w:rFonts w:ascii="Times New Roman" w:eastAsia="Times New Roman" w:hAnsi="Times New Roman"/>
          <w:iCs/>
          <w:color w:val="000000"/>
          <w:sz w:val="24"/>
          <w:szCs w:val="24"/>
          <w:lang w:val="en-GB"/>
        </w:rPr>
        <w:t>) plus the non-interest income (</w:t>
      </w:r>
      <w:proofErr w:type="spellStart"/>
      <w:r w:rsidRPr="0072546F">
        <w:rPr>
          <w:rFonts w:ascii="Times New Roman" w:eastAsia="Times New Roman" w:hAnsi="Times New Roman"/>
          <w:iCs/>
          <w:color w:val="000000"/>
          <w:sz w:val="24"/>
          <w:szCs w:val="24"/>
          <w:lang w:val="en-GB"/>
        </w:rPr>
        <w:t>Vneaf.d</w:t>
      </w:r>
      <w:proofErr w:type="spellEnd"/>
      <w:r w:rsidRPr="0072546F">
        <w:rPr>
          <w:rFonts w:ascii="Times New Roman" w:eastAsia="Times New Roman" w:hAnsi="Times New Roman"/>
          <w:iCs/>
          <w:color w:val="000000"/>
          <w:sz w:val="24"/>
          <w:szCs w:val="24"/>
          <w:lang w:val="en-GB"/>
        </w:rPr>
        <w:t>) divided by the non-interest expenses (</w:t>
      </w:r>
      <w:proofErr w:type="spellStart"/>
      <w:r w:rsidRPr="0072546F">
        <w:rPr>
          <w:rFonts w:ascii="Times New Roman" w:eastAsia="Times New Roman" w:hAnsi="Times New Roman"/>
          <w:iCs/>
          <w:color w:val="000000"/>
          <w:sz w:val="24"/>
          <w:szCs w:val="24"/>
          <w:lang w:val="en-GB"/>
        </w:rPr>
        <w:t>Chneaf.d</w:t>
      </w:r>
      <w:proofErr w:type="spellEnd"/>
      <w:r w:rsidRPr="0072546F">
        <w:rPr>
          <w:rFonts w:ascii="Times New Roman" w:eastAsia="Times New Roman" w:hAnsi="Times New Roman"/>
          <w:iCs/>
          <w:color w:val="000000"/>
          <w:sz w:val="24"/>
          <w:szCs w:val="24"/>
          <w:lang w:val="en-GB"/>
        </w:rPr>
        <w:t>) and multiplied by 100 (ER = (</w:t>
      </w:r>
      <w:proofErr w:type="spellStart"/>
      <w:r w:rsidRPr="0072546F">
        <w:rPr>
          <w:rFonts w:ascii="Times New Roman" w:eastAsia="Times New Roman" w:hAnsi="Times New Roman"/>
          <w:iCs/>
          <w:color w:val="000000"/>
          <w:sz w:val="24"/>
          <w:szCs w:val="24"/>
          <w:lang w:val="en-GB"/>
        </w:rPr>
        <w:t>Vnet</w:t>
      </w:r>
      <w:proofErr w:type="spellEnd"/>
      <w:r w:rsidRPr="0072546F">
        <w:rPr>
          <w:rFonts w:ascii="Times New Roman" w:eastAsia="Times New Roman" w:hAnsi="Times New Roman"/>
          <w:iCs/>
          <w:color w:val="000000"/>
          <w:sz w:val="24"/>
          <w:szCs w:val="24"/>
          <w:lang w:val="en-GB"/>
        </w:rPr>
        <w:t xml:space="preserve"> </w:t>
      </w:r>
      <w:proofErr w:type="spellStart"/>
      <w:proofErr w:type="gramStart"/>
      <w:r w:rsidRPr="0072546F">
        <w:rPr>
          <w:rFonts w:ascii="Times New Roman" w:eastAsia="Times New Roman" w:hAnsi="Times New Roman"/>
          <w:iCs/>
          <w:color w:val="000000"/>
          <w:sz w:val="24"/>
          <w:szCs w:val="24"/>
          <w:lang w:val="en-GB"/>
        </w:rPr>
        <w:t>af.d</w:t>
      </w:r>
      <w:proofErr w:type="spellEnd"/>
      <w:proofErr w:type="gramEnd"/>
      <w:r w:rsidRPr="0072546F">
        <w:rPr>
          <w:rFonts w:ascii="Times New Roman" w:eastAsia="Times New Roman" w:hAnsi="Times New Roman"/>
          <w:iCs/>
          <w:color w:val="000000"/>
          <w:sz w:val="24"/>
          <w:szCs w:val="24"/>
          <w:lang w:val="en-GB"/>
        </w:rPr>
        <w:t xml:space="preserve"> + </w:t>
      </w:r>
      <w:proofErr w:type="spellStart"/>
      <w:r w:rsidRPr="0072546F">
        <w:rPr>
          <w:rFonts w:ascii="Times New Roman" w:eastAsia="Times New Roman" w:hAnsi="Times New Roman"/>
          <w:iCs/>
          <w:color w:val="000000"/>
          <w:sz w:val="24"/>
          <w:szCs w:val="24"/>
          <w:lang w:val="en-GB"/>
        </w:rPr>
        <w:t>Vneaf.d</w:t>
      </w:r>
      <w:proofErr w:type="spellEnd"/>
      <w:r w:rsidRPr="0072546F">
        <w:rPr>
          <w:rFonts w:ascii="Times New Roman" w:eastAsia="Times New Roman" w:hAnsi="Times New Roman"/>
          <w:iCs/>
          <w:color w:val="000000"/>
          <w:sz w:val="24"/>
          <w:szCs w:val="24"/>
          <w:lang w:val="en-GB"/>
        </w:rPr>
        <w:t xml:space="preserve">) </w:t>
      </w:r>
      <w:proofErr w:type="spellStart"/>
      <w:r w:rsidRPr="0072546F">
        <w:rPr>
          <w:rFonts w:ascii="Times New Roman" w:eastAsia="Times New Roman" w:hAnsi="Times New Roman"/>
          <w:iCs/>
          <w:color w:val="000000"/>
          <w:sz w:val="24"/>
          <w:szCs w:val="24"/>
          <w:lang w:val="en-GB"/>
        </w:rPr>
        <w:t>Chneaf.d</w:t>
      </w:r>
      <w:proofErr w:type="spellEnd"/>
      <w:r w:rsidRPr="0072546F">
        <w:rPr>
          <w:rFonts w:ascii="Times New Roman" w:eastAsia="Times New Roman" w:hAnsi="Times New Roman"/>
          <w:iCs/>
          <w:color w:val="000000"/>
          <w:sz w:val="24"/>
          <w:szCs w:val="24"/>
          <w:lang w:val="en-GB"/>
        </w:rPr>
        <w:t>) x100</w:t>
      </w:r>
      <w:proofErr w:type="gramStart"/>
      <w:r w:rsidRPr="0072546F">
        <w:rPr>
          <w:rFonts w:ascii="Times New Roman" w:eastAsia="Times New Roman" w:hAnsi="Times New Roman"/>
          <w:iCs/>
          <w:color w:val="000000"/>
          <w:sz w:val="24"/>
          <w:szCs w:val="24"/>
          <w:lang w:val="en-GB"/>
        </w:rPr>
        <w:t>);</w:t>
      </w:r>
      <w:proofErr w:type="gramEnd"/>
    </w:p>
    <w:p w14:paraId="12D14549" w14:textId="77777777" w:rsidR="0095633E" w:rsidRPr="0072546F" w:rsidRDefault="0095633E" w:rsidP="0095633E">
      <w:pPr>
        <w:spacing w:after="0" w:line="240" w:lineRule="auto"/>
        <w:ind w:firstLine="567"/>
        <w:jc w:val="both"/>
        <w:rPr>
          <w:rFonts w:ascii="Times New Roman" w:eastAsia="Times New Roman" w:hAnsi="Times New Roman"/>
          <w:iCs/>
          <w:color w:val="000000"/>
          <w:sz w:val="24"/>
          <w:szCs w:val="24"/>
          <w:lang w:val="en-GB"/>
        </w:rPr>
      </w:pPr>
    </w:p>
    <w:p w14:paraId="015BCA47" w14:textId="77777777" w:rsidR="0095633E" w:rsidRPr="0095633E" w:rsidRDefault="0095633E" w:rsidP="0095633E">
      <w:pPr>
        <w:spacing w:after="0" w:line="240" w:lineRule="auto"/>
        <w:ind w:firstLine="567"/>
        <w:jc w:val="both"/>
        <w:rPr>
          <w:rFonts w:ascii="Times New Roman" w:hAnsi="Times New Roman"/>
          <w:i/>
          <w:iCs/>
          <w:color w:val="BF8F00"/>
          <w:sz w:val="20"/>
          <w:szCs w:val="20"/>
        </w:rPr>
      </w:pPr>
      <w:r w:rsidRPr="0095633E">
        <w:rPr>
          <w:rFonts w:ascii="Times New Roman" w:hAnsi="Times New Roman"/>
          <w:i/>
          <w:iCs/>
          <w:color w:val="BF8F00"/>
          <w:sz w:val="20"/>
          <w:szCs w:val="20"/>
        </w:rPr>
        <w:t>[point 14 repealed by NBM Decision No. 329 of 19.12.2024, effective from 01.07.2025]</w:t>
      </w:r>
    </w:p>
    <w:p w14:paraId="396BC795" w14:textId="77777777" w:rsidR="0095633E" w:rsidRPr="0072546F" w:rsidRDefault="0095633E" w:rsidP="0095633E">
      <w:pPr>
        <w:spacing w:after="0" w:line="240" w:lineRule="auto"/>
        <w:ind w:firstLine="567"/>
        <w:jc w:val="both"/>
        <w:rPr>
          <w:rFonts w:ascii="Times New Roman" w:eastAsia="Times New Roman" w:hAnsi="Times New Roman"/>
          <w:iCs/>
          <w:color w:val="000000"/>
          <w:sz w:val="24"/>
          <w:szCs w:val="24"/>
        </w:rPr>
      </w:pPr>
    </w:p>
    <w:p w14:paraId="76D46509" w14:textId="77777777" w:rsidR="0095633E" w:rsidRPr="0072546F" w:rsidRDefault="0095633E" w:rsidP="0095633E">
      <w:pPr>
        <w:spacing w:after="0" w:line="240" w:lineRule="auto"/>
        <w:ind w:firstLine="567"/>
        <w:jc w:val="both"/>
        <w:rPr>
          <w:rFonts w:ascii="Times New Roman" w:eastAsia="Times New Roman" w:hAnsi="Times New Roman"/>
          <w:iCs/>
          <w:color w:val="000000"/>
          <w:sz w:val="24"/>
          <w:szCs w:val="24"/>
          <w:lang w:val="en-GB"/>
        </w:rPr>
      </w:pPr>
      <w:r w:rsidRPr="0072546F">
        <w:rPr>
          <w:rFonts w:ascii="Times New Roman" w:eastAsia="Times New Roman" w:hAnsi="Times New Roman"/>
          <w:iCs/>
          <w:color w:val="000000"/>
          <w:sz w:val="24"/>
          <w:szCs w:val="24"/>
          <w:lang w:val="en-GB"/>
        </w:rPr>
        <w:t>14</w:t>
      </w:r>
      <w:r w:rsidRPr="0072546F">
        <w:rPr>
          <w:rFonts w:ascii="Times New Roman" w:eastAsia="Times New Roman" w:hAnsi="Times New Roman"/>
          <w:iCs/>
          <w:color w:val="000000"/>
          <w:sz w:val="24"/>
          <w:szCs w:val="24"/>
          <w:vertAlign w:val="superscript"/>
          <w:lang w:val="en-GB"/>
        </w:rPr>
        <w:t>1</w:t>
      </w:r>
      <w:r w:rsidRPr="0072546F">
        <w:rPr>
          <w:rFonts w:ascii="Times New Roman" w:eastAsia="Times New Roman" w:hAnsi="Times New Roman"/>
          <w:iCs/>
          <w:color w:val="000000"/>
          <w:sz w:val="24"/>
          <w:szCs w:val="24"/>
          <w:lang w:val="en-GB"/>
        </w:rPr>
        <w:t xml:space="preserve"> </w:t>
      </w:r>
      <w:r w:rsidRPr="0072546F">
        <w:rPr>
          <w:rFonts w:ascii="Times New Roman" w:eastAsia="Times New Roman" w:hAnsi="Times New Roman"/>
          <w:i/>
          <w:iCs/>
          <w:color w:val="000000"/>
          <w:sz w:val="24"/>
          <w:szCs w:val="24"/>
          <w:lang w:val="en-GB"/>
        </w:rPr>
        <w:t>liquidity coverage ratio (LCR)</w:t>
      </w:r>
      <w:r w:rsidRPr="0072546F">
        <w:rPr>
          <w:rFonts w:ascii="Times New Roman" w:eastAsia="Times New Roman" w:hAnsi="Times New Roman"/>
          <w:iCs/>
          <w:color w:val="000000"/>
          <w:sz w:val="24"/>
          <w:szCs w:val="24"/>
          <w:lang w:val="en-GB"/>
        </w:rPr>
        <w:t xml:space="preserve"> </w:t>
      </w:r>
      <w:r w:rsidRPr="0072546F">
        <w:rPr>
          <w:rFonts w:ascii="Times New Roman" w:hAnsi="Times New Roman"/>
          <w:sz w:val="24"/>
          <w:szCs w:val="24"/>
          <w:lang w:eastAsia="ro-MD"/>
        </w:rPr>
        <w:t xml:space="preserve">is calculated according to the Regulation on liquidity, approved by the Decision of the Executive Board of the National Bank of Moldova No </w:t>
      </w:r>
      <w:proofErr w:type="gramStart"/>
      <w:r w:rsidRPr="0072546F">
        <w:rPr>
          <w:rFonts w:ascii="Times New Roman" w:hAnsi="Times New Roman"/>
          <w:sz w:val="24"/>
          <w:szCs w:val="24"/>
          <w:lang w:eastAsia="ro-MD"/>
        </w:rPr>
        <w:t>329/2024</w:t>
      </w:r>
      <w:r w:rsidRPr="0072546F">
        <w:rPr>
          <w:rFonts w:ascii="Times New Roman" w:eastAsia="Times New Roman" w:hAnsi="Times New Roman"/>
          <w:iCs/>
          <w:color w:val="000000"/>
          <w:sz w:val="24"/>
          <w:szCs w:val="24"/>
          <w:lang w:val="en-GB"/>
        </w:rPr>
        <w:t>;</w:t>
      </w:r>
      <w:proofErr w:type="gramEnd"/>
    </w:p>
    <w:p w14:paraId="4D3501A1" w14:textId="77777777" w:rsidR="0095633E" w:rsidRPr="0072546F" w:rsidRDefault="0095633E" w:rsidP="0095633E">
      <w:pPr>
        <w:spacing w:after="0" w:line="240" w:lineRule="auto"/>
        <w:ind w:firstLine="567"/>
        <w:jc w:val="both"/>
        <w:rPr>
          <w:rFonts w:ascii="Times New Roman" w:eastAsia="Times New Roman" w:hAnsi="Times New Roman"/>
          <w:iCs/>
          <w:color w:val="000000"/>
          <w:sz w:val="24"/>
          <w:szCs w:val="24"/>
          <w:lang w:val="en-GB"/>
        </w:rPr>
      </w:pPr>
      <w:r w:rsidRPr="0072546F">
        <w:rPr>
          <w:rFonts w:ascii="Times New Roman" w:eastAsia="Times New Roman" w:hAnsi="Times New Roman"/>
          <w:iCs/>
          <w:color w:val="000000"/>
          <w:sz w:val="24"/>
          <w:szCs w:val="24"/>
          <w:lang w:val="en-GB"/>
        </w:rPr>
        <w:t>14</w:t>
      </w:r>
      <w:r w:rsidRPr="0072546F">
        <w:rPr>
          <w:rFonts w:ascii="Times New Roman" w:eastAsia="Times New Roman" w:hAnsi="Times New Roman"/>
          <w:iCs/>
          <w:color w:val="000000"/>
          <w:sz w:val="24"/>
          <w:szCs w:val="24"/>
          <w:vertAlign w:val="superscript"/>
          <w:lang w:val="en-GB"/>
        </w:rPr>
        <w:t>2</w:t>
      </w:r>
      <w:r w:rsidRPr="0072546F">
        <w:rPr>
          <w:rFonts w:ascii="Times New Roman" w:eastAsia="Times New Roman" w:hAnsi="Times New Roman"/>
          <w:iCs/>
          <w:color w:val="000000"/>
          <w:sz w:val="24"/>
          <w:szCs w:val="24"/>
          <w:lang w:val="en-GB"/>
        </w:rPr>
        <w:t xml:space="preserve"> </w:t>
      </w:r>
      <w:r w:rsidRPr="0072546F">
        <w:rPr>
          <w:rFonts w:ascii="Times New Roman" w:hAnsi="Times New Roman"/>
          <w:i/>
          <w:iCs/>
          <w:sz w:val="24"/>
          <w:szCs w:val="24"/>
          <w:lang w:eastAsia="ro-MD"/>
        </w:rPr>
        <w:t>Net stable funding ratio</w:t>
      </w:r>
      <w:r w:rsidRPr="0072546F">
        <w:rPr>
          <w:rFonts w:ascii="Times New Roman" w:hAnsi="Times New Roman"/>
          <w:sz w:val="24"/>
          <w:szCs w:val="24"/>
          <w:lang w:eastAsia="ro-MD"/>
        </w:rPr>
        <w:t xml:space="preserve"> is calculated according to the Regulation on liquidity, approved by the Decision of the Executive Board of the National Bank of Moldova No 329/2024.</w:t>
      </w:r>
    </w:p>
    <w:p w14:paraId="058C64F8" w14:textId="77777777" w:rsidR="0095633E" w:rsidRPr="0072546F" w:rsidRDefault="0095633E" w:rsidP="0095633E">
      <w:pPr>
        <w:spacing w:after="0" w:line="240" w:lineRule="auto"/>
        <w:jc w:val="both"/>
        <w:rPr>
          <w:rFonts w:ascii="Times New Roman" w:eastAsia="Times New Roman" w:hAnsi="Times New Roman"/>
          <w:i/>
          <w:iCs/>
          <w:color w:val="663300"/>
          <w:sz w:val="20"/>
          <w:szCs w:val="20"/>
          <w:lang w:eastAsia="ro-MD"/>
        </w:rPr>
      </w:pPr>
    </w:p>
    <w:p w14:paraId="760A2BA6" w14:textId="77777777" w:rsidR="0095633E" w:rsidRPr="0095633E" w:rsidRDefault="0095633E" w:rsidP="0095633E">
      <w:pPr>
        <w:spacing w:after="0" w:line="240" w:lineRule="auto"/>
        <w:ind w:firstLine="567"/>
        <w:jc w:val="both"/>
        <w:rPr>
          <w:rFonts w:ascii="Times New Roman" w:hAnsi="Times New Roman"/>
          <w:i/>
          <w:iCs/>
          <w:color w:val="BF8F00"/>
          <w:sz w:val="20"/>
          <w:szCs w:val="20"/>
        </w:rPr>
      </w:pPr>
      <w:r w:rsidRPr="0095633E">
        <w:rPr>
          <w:rFonts w:ascii="Times New Roman" w:hAnsi="Times New Roman"/>
          <w:i/>
          <w:iCs/>
          <w:color w:val="BF8F00"/>
          <w:sz w:val="20"/>
          <w:szCs w:val="20"/>
        </w:rPr>
        <w:t>[points 15 and 16 repealed by NBM Decision No. 329 of 19.12.2024, effective from 01.07.2025]</w:t>
      </w:r>
    </w:p>
    <w:p w14:paraId="7F3969ED" w14:textId="77777777" w:rsidR="0095633E" w:rsidRPr="0095633E" w:rsidRDefault="0095633E" w:rsidP="0095633E">
      <w:pPr>
        <w:spacing w:after="0" w:line="240" w:lineRule="auto"/>
        <w:ind w:firstLine="567"/>
        <w:jc w:val="both"/>
        <w:rPr>
          <w:rFonts w:ascii="Times New Roman" w:hAnsi="Times New Roman"/>
          <w:i/>
          <w:iCs/>
          <w:color w:val="BF8F00"/>
          <w:sz w:val="20"/>
          <w:szCs w:val="20"/>
        </w:rPr>
      </w:pPr>
    </w:p>
    <w:p w14:paraId="58A19538" w14:textId="77777777" w:rsidR="0095633E" w:rsidRPr="0072546F" w:rsidRDefault="0095633E" w:rsidP="0095633E">
      <w:pPr>
        <w:spacing w:after="0" w:line="240" w:lineRule="auto"/>
        <w:ind w:firstLine="567"/>
        <w:jc w:val="both"/>
        <w:rPr>
          <w:rFonts w:ascii="Times New Roman" w:eastAsia="Times New Roman" w:hAnsi="Times New Roman"/>
          <w:color w:val="000000"/>
          <w:sz w:val="24"/>
          <w:szCs w:val="24"/>
          <w:lang w:val="en-GB"/>
        </w:rPr>
      </w:pPr>
      <w:r w:rsidRPr="0072546F">
        <w:rPr>
          <w:rFonts w:ascii="Times New Roman" w:eastAsia="Times New Roman" w:hAnsi="Times New Roman"/>
          <w:color w:val="000000"/>
          <w:sz w:val="24"/>
          <w:szCs w:val="24"/>
          <w:vertAlign w:val="superscript"/>
          <w:lang w:val="en-GB"/>
        </w:rPr>
        <w:t>17</w:t>
      </w:r>
      <w:r w:rsidRPr="0072546F">
        <w:rPr>
          <w:rFonts w:ascii="Times New Roman" w:eastAsia="Times New Roman" w:hAnsi="Times New Roman"/>
          <w:color w:val="000000"/>
          <w:sz w:val="24"/>
          <w:szCs w:val="24"/>
          <w:lang w:val="en-GB"/>
        </w:rPr>
        <w:t xml:space="preserve"> </w:t>
      </w:r>
      <w:r w:rsidRPr="0072546F">
        <w:rPr>
          <w:rFonts w:ascii="Times New Roman" w:eastAsia="Times New Roman" w:hAnsi="Times New Roman"/>
          <w:i/>
          <w:iCs/>
          <w:color w:val="000000"/>
          <w:sz w:val="24"/>
          <w:szCs w:val="24"/>
          <w:lang w:val="en-GB"/>
        </w:rPr>
        <w:t xml:space="preserve">the share of balance sheet assets in foreign currency and foreign currency-liked assets in total assets </w:t>
      </w:r>
      <w:r w:rsidRPr="0072546F">
        <w:rPr>
          <w:rFonts w:ascii="Times New Roman" w:eastAsia="Times New Roman" w:hAnsi="Times New Roman"/>
          <w:iCs/>
          <w:color w:val="000000"/>
          <w:sz w:val="24"/>
          <w:szCs w:val="24"/>
          <w:lang w:val="en-GB"/>
        </w:rPr>
        <w:t xml:space="preserve">represent: foreign currency balance sheet assets plus the total amount of foreign currency-liked assets divided by the total amount of assets and multiplied by </w:t>
      </w:r>
      <w:proofErr w:type="gramStart"/>
      <w:r w:rsidRPr="0072546F">
        <w:rPr>
          <w:rFonts w:ascii="Times New Roman" w:eastAsia="Times New Roman" w:hAnsi="Times New Roman"/>
          <w:iCs/>
          <w:color w:val="000000"/>
          <w:sz w:val="24"/>
          <w:szCs w:val="24"/>
          <w:lang w:val="en-GB"/>
        </w:rPr>
        <w:t>100;</w:t>
      </w:r>
      <w:proofErr w:type="gramEnd"/>
    </w:p>
    <w:p w14:paraId="49E66361" w14:textId="77777777" w:rsidR="0095633E" w:rsidRPr="0072546F" w:rsidRDefault="0095633E" w:rsidP="0095633E">
      <w:pPr>
        <w:spacing w:after="0" w:line="240" w:lineRule="auto"/>
        <w:ind w:firstLine="567"/>
        <w:jc w:val="both"/>
        <w:rPr>
          <w:rFonts w:ascii="Times New Roman" w:eastAsia="Times New Roman" w:hAnsi="Times New Roman"/>
          <w:color w:val="000000"/>
          <w:sz w:val="24"/>
          <w:szCs w:val="24"/>
          <w:lang w:val="en-GB"/>
        </w:rPr>
      </w:pPr>
      <w:r w:rsidRPr="0072546F">
        <w:rPr>
          <w:rFonts w:ascii="Times New Roman" w:eastAsia="Times New Roman" w:hAnsi="Times New Roman"/>
          <w:color w:val="000000"/>
          <w:sz w:val="24"/>
          <w:szCs w:val="24"/>
          <w:vertAlign w:val="superscript"/>
          <w:lang w:val="en-GB"/>
        </w:rPr>
        <w:t>18</w:t>
      </w:r>
      <w:r w:rsidRPr="0072546F">
        <w:rPr>
          <w:rFonts w:ascii="Times New Roman" w:eastAsia="Times New Roman" w:hAnsi="Times New Roman"/>
          <w:color w:val="000000"/>
          <w:sz w:val="24"/>
          <w:szCs w:val="24"/>
          <w:lang w:val="en-GB"/>
        </w:rPr>
        <w:t xml:space="preserve"> </w:t>
      </w:r>
      <w:r w:rsidRPr="0072546F">
        <w:rPr>
          <w:rFonts w:ascii="Times New Roman" w:eastAsia="Times New Roman" w:hAnsi="Times New Roman"/>
          <w:i/>
          <w:iCs/>
          <w:color w:val="000000"/>
          <w:sz w:val="24"/>
          <w:szCs w:val="24"/>
          <w:lang w:val="en-GB"/>
        </w:rPr>
        <w:t xml:space="preserve">the share of balance sheet liabilities in foreign currency and foreign currency-linked liabilities in total assets </w:t>
      </w:r>
      <w:r w:rsidRPr="0072546F">
        <w:rPr>
          <w:rFonts w:ascii="Times New Roman" w:eastAsia="Times New Roman" w:hAnsi="Times New Roman"/>
          <w:iCs/>
          <w:color w:val="000000"/>
          <w:sz w:val="24"/>
          <w:szCs w:val="24"/>
          <w:lang w:val="en-GB"/>
        </w:rPr>
        <w:t xml:space="preserve">represent the balance sheet liabilities in foreign currency plus the total amount of liabilities attached to the exchange rate divided by the total amount of assets and multiplied by </w:t>
      </w:r>
      <w:proofErr w:type="gramStart"/>
      <w:r w:rsidRPr="0072546F">
        <w:rPr>
          <w:rFonts w:ascii="Times New Roman" w:eastAsia="Times New Roman" w:hAnsi="Times New Roman"/>
          <w:iCs/>
          <w:color w:val="000000"/>
          <w:sz w:val="24"/>
          <w:szCs w:val="24"/>
          <w:lang w:val="en-GB"/>
        </w:rPr>
        <w:t>100;</w:t>
      </w:r>
      <w:proofErr w:type="gramEnd"/>
      <w:r w:rsidRPr="0072546F">
        <w:rPr>
          <w:rFonts w:ascii="Times New Roman" w:eastAsia="Times New Roman" w:hAnsi="Times New Roman"/>
          <w:color w:val="000000"/>
          <w:sz w:val="24"/>
          <w:szCs w:val="24"/>
          <w:lang w:val="en-GB"/>
        </w:rPr>
        <w:t xml:space="preserve"> </w:t>
      </w:r>
    </w:p>
    <w:p w14:paraId="267F5881" w14:textId="77777777" w:rsidR="0095633E" w:rsidRPr="0072546F" w:rsidRDefault="0095633E" w:rsidP="0095633E">
      <w:pPr>
        <w:spacing w:after="0" w:line="240" w:lineRule="auto"/>
        <w:ind w:firstLine="567"/>
        <w:jc w:val="both"/>
        <w:rPr>
          <w:rFonts w:ascii="Times New Roman" w:eastAsia="Times New Roman" w:hAnsi="Times New Roman"/>
          <w:color w:val="000000"/>
          <w:sz w:val="24"/>
          <w:szCs w:val="24"/>
          <w:lang w:val="en-GB"/>
        </w:rPr>
      </w:pPr>
      <w:r w:rsidRPr="0072546F">
        <w:rPr>
          <w:rFonts w:ascii="Times New Roman" w:eastAsia="Times New Roman" w:hAnsi="Times New Roman"/>
          <w:color w:val="000000"/>
          <w:sz w:val="24"/>
          <w:szCs w:val="24"/>
          <w:vertAlign w:val="superscript"/>
          <w:lang w:val="en-GB"/>
        </w:rPr>
        <w:t>19</w:t>
      </w:r>
      <w:r w:rsidRPr="0072546F">
        <w:rPr>
          <w:rFonts w:ascii="Times New Roman" w:eastAsia="Times New Roman" w:hAnsi="Times New Roman"/>
          <w:color w:val="000000"/>
          <w:sz w:val="24"/>
          <w:szCs w:val="24"/>
          <w:lang w:val="en-GB"/>
        </w:rPr>
        <w:t xml:space="preserve"> The ratio of the bank's </w:t>
      </w:r>
      <w:proofErr w:type="gramStart"/>
      <w:r w:rsidRPr="0072546F">
        <w:rPr>
          <w:rFonts w:ascii="Times New Roman" w:eastAsia="Times New Roman" w:hAnsi="Times New Roman"/>
          <w:color w:val="000000"/>
          <w:sz w:val="24"/>
          <w:szCs w:val="24"/>
          <w:lang w:val="en-GB"/>
        </w:rPr>
        <w:t>open</w:t>
      </w:r>
      <w:proofErr w:type="gramEnd"/>
      <w:r w:rsidRPr="0072546F">
        <w:rPr>
          <w:rFonts w:ascii="Times New Roman" w:eastAsia="Times New Roman" w:hAnsi="Times New Roman"/>
          <w:color w:val="000000"/>
          <w:sz w:val="24"/>
          <w:szCs w:val="24"/>
          <w:lang w:val="en-GB"/>
        </w:rPr>
        <w:t xml:space="preserve"> foreign exchange position to each currency (long &lt;+ 10%): the highest value of the long foreign exchange position is </w:t>
      </w:r>
      <w:proofErr w:type="gramStart"/>
      <w:r w:rsidRPr="0072546F">
        <w:rPr>
          <w:rFonts w:ascii="Times New Roman" w:eastAsia="Times New Roman" w:hAnsi="Times New Roman"/>
          <w:color w:val="000000"/>
          <w:sz w:val="24"/>
          <w:szCs w:val="24"/>
          <w:lang w:val="en-GB"/>
        </w:rPr>
        <w:t>indicated;</w:t>
      </w:r>
      <w:proofErr w:type="gramEnd"/>
    </w:p>
    <w:p w14:paraId="7E7325A6" w14:textId="77777777" w:rsidR="0095633E" w:rsidRPr="0072546F" w:rsidRDefault="0095633E" w:rsidP="0095633E">
      <w:pPr>
        <w:spacing w:after="0" w:line="240" w:lineRule="auto"/>
        <w:ind w:firstLine="567"/>
        <w:jc w:val="both"/>
        <w:rPr>
          <w:rFonts w:ascii="Times New Roman" w:eastAsia="Times New Roman" w:hAnsi="Times New Roman"/>
          <w:color w:val="000000"/>
          <w:sz w:val="24"/>
          <w:szCs w:val="24"/>
          <w:lang w:val="en-GB"/>
        </w:rPr>
      </w:pPr>
      <w:r w:rsidRPr="0072546F">
        <w:rPr>
          <w:rFonts w:ascii="Times New Roman" w:eastAsia="Times New Roman" w:hAnsi="Times New Roman"/>
          <w:color w:val="000000"/>
          <w:sz w:val="24"/>
          <w:szCs w:val="24"/>
          <w:vertAlign w:val="superscript"/>
          <w:lang w:val="en-GB"/>
        </w:rPr>
        <w:t>20</w:t>
      </w:r>
      <w:r w:rsidRPr="0072546F">
        <w:rPr>
          <w:rFonts w:ascii="Times New Roman" w:eastAsia="Times New Roman" w:hAnsi="Times New Roman"/>
          <w:color w:val="000000"/>
          <w:sz w:val="24"/>
          <w:szCs w:val="24"/>
          <w:lang w:val="en-GB"/>
        </w:rPr>
        <w:t xml:space="preserve"> The ratio of the bank's </w:t>
      </w:r>
      <w:proofErr w:type="gramStart"/>
      <w:r w:rsidRPr="0072546F">
        <w:rPr>
          <w:rFonts w:ascii="Times New Roman" w:eastAsia="Times New Roman" w:hAnsi="Times New Roman"/>
          <w:color w:val="000000"/>
          <w:sz w:val="24"/>
          <w:szCs w:val="24"/>
          <w:lang w:val="en-GB"/>
        </w:rPr>
        <w:t>open</w:t>
      </w:r>
      <w:proofErr w:type="gramEnd"/>
      <w:r w:rsidRPr="0072546F">
        <w:rPr>
          <w:rFonts w:ascii="Times New Roman" w:eastAsia="Times New Roman" w:hAnsi="Times New Roman"/>
          <w:color w:val="000000"/>
          <w:sz w:val="24"/>
          <w:szCs w:val="24"/>
          <w:lang w:val="en-GB"/>
        </w:rPr>
        <w:t xml:space="preserve"> foreign exchange position to each currency (short&gt; -10%): the highest value of the short foreign exchange position is </w:t>
      </w:r>
      <w:proofErr w:type="gramStart"/>
      <w:r w:rsidRPr="0072546F">
        <w:rPr>
          <w:rFonts w:ascii="Times New Roman" w:eastAsia="Times New Roman" w:hAnsi="Times New Roman"/>
          <w:color w:val="000000"/>
          <w:sz w:val="24"/>
          <w:szCs w:val="24"/>
          <w:lang w:val="en-GB"/>
        </w:rPr>
        <w:t>indicated;</w:t>
      </w:r>
      <w:proofErr w:type="gramEnd"/>
    </w:p>
    <w:p w14:paraId="22785AE0" w14:textId="77777777" w:rsidR="0095633E" w:rsidRPr="0072546F" w:rsidRDefault="0095633E" w:rsidP="0095633E">
      <w:pPr>
        <w:spacing w:after="0" w:line="240" w:lineRule="auto"/>
        <w:ind w:firstLine="567"/>
        <w:jc w:val="both"/>
        <w:rPr>
          <w:rFonts w:ascii="Times New Roman" w:eastAsia="Times New Roman" w:hAnsi="Times New Roman"/>
          <w:color w:val="000000"/>
          <w:sz w:val="24"/>
          <w:szCs w:val="24"/>
          <w:lang w:val="en-GB"/>
        </w:rPr>
      </w:pPr>
      <w:r w:rsidRPr="0072546F">
        <w:rPr>
          <w:rFonts w:ascii="Times New Roman" w:eastAsia="Times New Roman" w:hAnsi="Times New Roman"/>
          <w:color w:val="000000"/>
          <w:sz w:val="24"/>
          <w:szCs w:val="24"/>
          <w:vertAlign w:val="superscript"/>
          <w:lang w:val="en-GB"/>
        </w:rPr>
        <w:t>21</w:t>
      </w:r>
      <w:r w:rsidRPr="0072546F">
        <w:rPr>
          <w:rFonts w:ascii="Times New Roman" w:eastAsia="Times New Roman" w:hAnsi="Times New Roman"/>
          <w:color w:val="000000"/>
          <w:sz w:val="24"/>
          <w:szCs w:val="24"/>
          <w:lang w:val="en-GB"/>
        </w:rPr>
        <w:t xml:space="preserve"> </w:t>
      </w:r>
      <w:r w:rsidRPr="0072546F">
        <w:rPr>
          <w:rFonts w:ascii="Times New Roman" w:eastAsia="Times New Roman" w:hAnsi="Times New Roman"/>
          <w:i/>
          <w:iCs/>
          <w:color w:val="000000"/>
          <w:sz w:val="24"/>
          <w:szCs w:val="24"/>
          <w:lang w:val="en-GB"/>
        </w:rPr>
        <w:t xml:space="preserve">The total number of employees </w:t>
      </w:r>
      <w:r w:rsidRPr="0072546F">
        <w:rPr>
          <w:rFonts w:ascii="Times New Roman" w:eastAsia="Times New Roman" w:hAnsi="Times New Roman"/>
          <w:iCs/>
          <w:color w:val="000000"/>
          <w:sz w:val="24"/>
          <w:szCs w:val="24"/>
          <w:lang w:val="en-GB"/>
        </w:rPr>
        <w:t>of the bank represents the number of persons employed with individual employment contract according to the situation on the last day of the reporting period, except for individual employment contracts suspended by agreement of the parties, as well as those at the initiative of one of the parties. The suspension of these contracts implies the suspension of the work performed by the employee and the payment of his/her right (salary, bonuses, other payments) by the employer.</w:t>
      </w:r>
    </w:p>
    <w:p w14:paraId="7E4309BB" w14:textId="77777777" w:rsidR="0095633E" w:rsidRPr="0072546F" w:rsidRDefault="0095633E" w:rsidP="0095633E">
      <w:pPr>
        <w:spacing w:after="0" w:line="240" w:lineRule="auto"/>
        <w:jc w:val="both"/>
        <w:rPr>
          <w:rFonts w:ascii="Times New Roman" w:eastAsia="Times New Roman" w:hAnsi="Times New Roman"/>
          <w:bCs/>
          <w:iCs/>
          <w:color w:val="000000"/>
          <w:sz w:val="24"/>
          <w:szCs w:val="24"/>
          <w:lang w:val="en-GB"/>
        </w:rPr>
      </w:pPr>
    </w:p>
    <w:p w14:paraId="6CD93A46" w14:textId="77777777" w:rsidR="0095633E" w:rsidRPr="0072546F" w:rsidRDefault="0095633E" w:rsidP="0095633E">
      <w:pPr>
        <w:spacing w:after="0" w:line="240" w:lineRule="auto"/>
        <w:jc w:val="both"/>
        <w:rPr>
          <w:rFonts w:ascii="Times New Roman" w:eastAsia="Times New Roman" w:hAnsi="Times New Roman"/>
          <w:b/>
          <w:bCs/>
          <w:color w:val="000000"/>
          <w:sz w:val="24"/>
          <w:szCs w:val="24"/>
          <w:lang w:val="en-GB"/>
        </w:rPr>
      </w:pPr>
      <w:r w:rsidRPr="0072546F">
        <w:rPr>
          <w:rFonts w:ascii="Times New Roman" w:eastAsia="Times New Roman" w:hAnsi="Times New Roman"/>
          <w:bCs/>
          <w:iCs/>
          <w:color w:val="000000"/>
          <w:sz w:val="24"/>
          <w:szCs w:val="24"/>
          <w:lang w:val="en-GB"/>
        </w:rPr>
        <w:t>For the purposes of Annex 1, the term "</w:t>
      </w:r>
      <w:r w:rsidRPr="0072546F">
        <w:rPr>
          <w:rFonts w:ascii="Times New Roman" w:eastAsia="Times New Roman" w:hAnsi="Times New Roman"/>
          <w:bCs/>
          <w:i/>
          <w:iCs/>
          <w:color w:val="000000"/>
          <w:sz w:val="24"/>
          <w:szCs w:val="24"/>
          <w:lang w:val="en-GB"/>
        </w:rPr>
        <w:t>principal amount</w:t>
      </w:r>
      <w:r w:rsidRPr="0072546F">
        <w:rPr>
          <w:rFonts w:ascii="Times New Roman" w:eastAsia="Times New Roman" w:hAnsi="Times New Roman"/>
          <w:bCs/>
          <w:iCs/>
          <w:color w:val="000000"/>
          <w:sz w:val="24"/>
          <w:szCs w:val="24"/>
          <w:lang w:val="en-GB"/>
        </w:rPr>
        <w:t xml:space="preserve">" means the gross balance of loans / deposits that does not include calculated interest and is not diminished by the amounts of value adjustments and allowances for expected impairment losses (loss of value) and the </w:t>
      </w:r>
      <w:proofErr w:type="gramStart"/>
      <w:r w:rsidRPr="0072546F">
        <w:rPr>
          <w:rFonts w:ascii="Times New Roman" w:eastAsia="Times New Roman" w:hAnsi="Times New Roman"/>
          <w:bCs/>
          <w:iCs/>
          <w:color w:val="000000"/>
          <w:sz w:val="24"/>
          <w:szCs w:val="24"/>
          <w:lang w:val="en-GB"/>
        </w:rPr>
        <w:t>amount</w:t>
      </w:r>
      <w:proofErr w:type="gramEnd"/>
      <w:r w:rsidRPr="0072546F">
        <w:rPr>
          <w:rFonts w:ascii="Times New Roman" w:eastAsia="Times New Roman" w:hAnsi="Times New Roman"/>
          <w:bCs/>
          <w:iCs/>
          <w:color w:val="000000"/>
          <w:sz w:val="24"/>
          <w:szCs w:val="24"/>
          <w:lang w:val="en-GB"/>
        </w:rPr>
        <w:t xml:space="preserve"> of losses on assets / conditional commitments calculated in accordance with Regulation no. 231/2011.</w:t>
      </w:r>
    </w:p>
    <w:p w14:paraId="649D8CA2" w14:textId="77777777" w:rsidR="0095633E" w:rsidRPr="0095633E" w:rsidRDefault="0095633E" w:rsidP="0095633E">
      <w:pPr>
        <w:spacing w:after="0" w:line="240" w:lineRule="auto"/>
        <w:ind w:firstLine="567"/>
        <w:jc w:val="both"/>
        <w:rPr>
          <w:rFonts w:ascii="Times New Roman" w:eastAsia="Times New Roman" w:hAnsi="Times New Roman"/>
          <w:i/>
          <w:iCs/>
          <w:color w:val="000000"/>
          <w:sz w:val="24"/>
          <w:szCs w:val="24"/>
          <w:lang w:val="en-GB"/>
        </w:rPr>
      </w:pPr>
    </w:p>
    <w:p w14:paraId="0B2910C6" w14:textId="77777777" w:rsidR="0095633E" w:rsidRPr="0095633E" w:rsidRDefault="0095633E" w:rsidP="0095633E">
      <w:pPr>
        <w:rPr>
          <w:rFonts w:ascii="Times New Roman" w:hAnsi="Times New Roman"/>
          <w:b/>
          <w:bCs/>
          <w:i/>
          <w:iCs/>
          <w:color w:val="BF8F00"/>
          <w:sz w:val="20"/>
          <w:szCs w:val="20"/>
          <w:lang w:val="en-GB"/>
        </w:rPr>
      </w:pPr>
      <w:r w:rsidRPr="0095633E">
        <w:rPr>
          <w:rStyle w:val="Strong"/>
          <w:rFonts w:ascii="Times New Roman" w:hAnsi="Times New Roman"/>
          <w:b w:val="0"/>
          <w:bCs w:val="0"/>
          <w:i/>
          <w:iCs/>
          <w:color w:val="BF8F00"/>
          <w:sz w:val="20"/>
          <w:szCs w:val="20"/>
        </w:rPr>
        <w:t>[Annex No. 1 completed by NBM Decision No. 176 of 31.07.2025, effective from 01.01.2026]</w:t>
      </w:r>
      <w:r w:rsidRPr="0095633E">
        <w:rPr>
          <w:rFonts w:ascii="Times New Roman" w:hAnsi="Times New Roman"/>
          <w:b/>
          <w:bCs/>
          <w:i/>
          <w:iCs/>
          <w:color w:val="BF8F00"/>
          <w:sz w:val="20"/>
          <w:szCs w:val="20"/>
        </w:rPr>
        <w:br/>
      </w:r>
      <w:r w:rsidRPr="0095633E">
        <w:rPr>
          <w:rStyle w:val="Strong"/>
          <w:rFonts w:ascii="Times New Roman" w:hAnsi="Times New Roman"/>
          <w:b w:val="0"/>
          <w:bCs w:val="0"/>
          <w:i/>
          <w:iCs/>
          <w:color w:val="BF8F00"/>
          <w:sz w:val="20"/>
          <w:szCs w:val="20"/>
        </w:rPr>
        <w:t>[Annex No. 1 amended by NBM Decision No. 329 of 19.12.2024, effective from 01.07.2025]</w:t>
      </w:r>
      <w:r w:rsidRPr="0095633E">
        <w:rPr>
          <w:rFonts w:ascii="Times New Roman" w:hAnsi="Times New Roman"/>
          <w:b/>
          <w:bCs/>
          <w:i/>
          <w:iCs/>
          <w:color w:val="BF8F00"/>
          <w:sz w:val="20"/>
          <w:szCs w:val="20"/>
        </w:rPr>
        <w:br/>
      </w:r>
      <w:r w:rsidRPr="0095633E">
        <w:rPr>
          <w:rStyle w:val="Strong"/>
          <w:rFonts w:ascii="Times New Roman" w:hAnsi="Times New Roman"/>
          <w:b w:val="0"/>
          <w:bCs w:val="0"/>
          <w:i/>
          <w:iCs/>
          <w:color w:val="BF8F00"/>
          <w:sz w:val="20"/>
          <w:szCs w:val="20"/>
        </w:rPr>
        <w:t>[Annex No. 1 amended by NBM Decision No. 275 of 29.12.2022, effective from 13.02.2023]</w:t>
      </w:r>
    </w:p>
    <w:p w14:paraId="41754150" w14:textId="77777777" w:rsidR="00467BAC" w:rsidRPr="0029408A" w:rsidRDefault="00467BAC" w:rsidP="00F34ACB">
      <w:pPr>
        <w:spacing w:after="0" w:line="240" w:lineRule="auto"/>
        <w:jc w:val="both"/>
        <w:rPr>
          <w:rFonts w:ascii="Times New Roman" w:eastAsia="Times New Roman" w:hAnsi="Times New Roman"/>
          <w:color w:val="000000"/>
          <w:sz w:val="24"/>
          <w:szCs w:val="24"/>
          <w:lang w:val="en-GB"/>
        </w:rPr>
        <w:sectPr w:rsidR="00467BAC" w:rsidRPr="0029408A" w:rsidSect="009D7F1B">
          <w:headerReference w:type="even" r:id="rId9"/>
          <w:headerReference w:type="default" r:id="rId10"/>
          <w:footerReference w:type="even" r:id="rId11"/>
          <w:footerReference w:type="default" r:id="rId12"/>
          <w:pgSz w:w="12240" w:h="15840"/>
          <w:pgMar w:top="1134" w:right="850" w:bottom="709" w:left="1701" w:header="720" w:footer="720" w:gutter="0"/>
          <w:cols w:space="720"/>
          <w:docGrid w:linePitch="360"/>
        </w:sectPr>
      </w:pPr>
    </w:p>
    <w:p w14:paraId="4A577B8B" w14:textId="77777777" w:rsidR="00467BAC" w:rsidRPr="0029408A" w:rsidRDefault="00467BAC" w:rsidP="00F34ACB">
      <w:pPr>
        <w:spacing w:after="0" w:line="240" w:lineRule="auto"/>
        <w:jc w:val="both"/>
        <w:rPr>
          <w:rFonts w:ascii="Times New Roman" w:eastAsia="Times New Roman" w:hAnsi="Times New Roman"/>
          <w:color w:val="000000"/>
          <w:sz w:val="24"/>
          <w:szCs w:val="24"/>
          <w:lang w:val="en-GB"/>
        </w:rPr>
      </w:pPr>
    </w:p>
    <w:tbl>
      <w:tblPr>
        <w:tblW w:w="5004" w:type="pct"/>
        <w:jc w:val="center"/>
        <w:tblCellMar>
          <w:top w:w="15" w:type="dxa"/>
          <w:left w:w="15" w:type="dxa"/>
          <w:bottom w:w="15" w:type="dxa"/>
          <w:right w:w="15" w:type="dxa"/>
        </w:tblCellMar>
        <w:tblLook w:val="04A0" w:firstRow="1" w:lastRow="0" w:firstColumn="1" w:lastColumn="0" w:noHBand="0" w:noVBand="1"/>
      </w:tblPr>
      <w:tblGrid>
        <w:gridCol w:w="2029"/>
        <w:gridCol w:w="656"/>
        <w:gridCol w:w="1016"/>
        <w:gridCol w:w="896"/>
        <w:gridCol w:w="1016"/>
        <w:gridCol w:w="896"/>
        <w:gridCol w:w="1016"/>
        <w:gridCol w:w="896"/>
        <w:gridCol w:w="1016"/>
        <w:gridCol w:w="896"/>
        <w:gridCol w:w="1016"/>
        <w:gridCol w:w="896"/>
        <w:gridCol w:w="1016"/>
        <w:gridCol w:w="896"/>
        <w:gridCol w:w="1016"/>
      </w:tblGrid>
      <w:tr w:rsidR="000F2B3E" w:rsidRPr="0029408A" w14:paraId="6E239035" w14:textId="77777777" w:rsidTr="00AA4EA2">
        <w:trPr>
          <w:jc w:val="center"/>
        </w:trPr>
        <w:tc>
          <w:tcPr>
            <w:tcW w:w="5000" w:type="pct"/>
            <w:gridSpan w:val="15"/>
            <w:tcBorders>
              <w:top w:val="nil"/>
              <w:left w:val="nil"/>
              <w:bottom w:val="nil"/>
              <w:right w:val="nil"/>
            </w:tcBorders>
            <w:tcMar>
              <w:top w:w="24" w:type="dxa"/>
              <w:left w:w="48" w:type="dxa"/>
              <w:bottom w:w="24" w:type="dxa"/>
              <w:right w:w="48" w:type="dxa"/>
            </w:tcMar>
            <w:hideMark/>
          </w:tcPr>
          <w:p w14:paraId="192B6967" w14:textId="77777777" w:rsidR="00F34ACB" w:rsidRPr="0029408A" w:rsidRDefault="00F34ACB" w:rsidP="00F34ACB">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Annex No. 2 </w:t>
            </w:r>
          </w:p>
          <w:p w14:paraId="31774918" w14:textId="77777777" w:rsidR="007D35B5" w:rsidRPr="0029408A" w:rsidRDefault="007D35B5" w:rsidP="007D35B5">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to the </w:t>
            </w:r>
            <w:r w:rsidRPr="0029408A">
              <w:rPr>
                <w:rFonts w:ascii="Times New Roman" w:eastAsia="Times New Roman" w:hAnsi="Times New Roman"/>
                <w:bCs/>
                <w:color w:val="000000"/>
                <w:sz w:val="24"/>
                <w:szCs w:val="24"/>
                <w:lang w:val="en-GB"/>
              </w:rPr>
              <w:t>Regulation on the requirements for publication</w:t>
            </w:r>
          </w:p>
          <w:p w14:paraId="483BEBCB" w14:textId="77777777" w:rsidR="003D019F" w:rsidRPr="0029408A" w:rsidRDefault="007D35B5" w:rsidP="007D35B5">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bCs/>
                <w:color w:val="000000"/>
                <w:sz w:val="24"/>
                <w:szCs w:val="24"/>
                <w:lang w:val="en-GB"/>
              </w:rPr>
              <w:t>of information by banks</w:t>
            </w:r>
          </w:p>
          <w:p w14:paraId="3DD1AEED"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p w14:paraId="30308E51" w14:textId="77777777" w:rsidR="004E6D8A" w:rsidRPr="0029408A" w:rsidRDefault="00F34ACB"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INFORMATION</w:t>
            </w:r>
          </w:p>
          <w:p w14:paraId="51D0998F" w14:textId="77777777" w:rsidR="004E6D8A" w:rsidRPr="0029408A" w:rsidRDefault="00F34ACB"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 xml:space="preserve">on </w:t>
            </w:r>
            <w:r w:rsidR="007D35B5" w:rsidRPr="0029408A">
              <w:rPr>
                <w:rFonts w:ascii="Times New Roman" w:eastAsia="Times New Roman" w:hAnsi="Times New Roman"/>
                <w:b/>
                <w:bCs/>
                <w:color w:val="000000"/>
                <w:sz w:val="24"/>
                <w:szCs w:val="24"/>
                <w:lang w:val="en-GB"/>
              </w:rPr>
              <w:t>loan</w:t>
            </w:r>
            <w:r w:rsidR="008C58E1" w:rsidRPr="0029408A">
              <w:rPr>
                <w:rFonts w:ascii="Times New Roman" w:eastAsia="Times New Roman" w:hAnsi="Times New Roman"/>
                <w:b/>
                <w:bCs/>
                <w:color w:val="000000"/>
                <w:sz w:val="24"/>
                <w:szCs w:val="24"/>
                <w:lang w:val="en-GB"/>
              </w:rPr>
              <w:t>s</w:t>
            </w:r>
            <w:r w:rsidR="004E6D8A" w:rsidRPr="0029408A">
              <w:rPr>
                <w:rFonts w:ascii="Times New Roman" w:eastAsia="Times New Roman" w:hAnsi="Times New Roman"/>
                <w:b/>
                <w:bCs/>
                <w:color w:val="000000"/>
                <w:sz w:val="24"/>
                <w:szCs w:val="24"/>
                <w:lang w:val="en-GB"/>
              </w:rPr>
              <w:t xml:space="preserve"> </w:t>
            </w:r>
            <w:r w:rsidR="004E6D8A" w:rsidRPr="0029408A">
              <w:rPr>
                <w:rFonts w:ascii="Times New Roman" w:eastAsia="Times New Roman" w:hAnsi="Times New Roman"/>
                <w:color w:val="000000"/>
                <w:sz w:val="24"/>
                <w:szCs w:val="24"/>
                <w:lang w:val="en-GB"/>
              </w:rPr>
              <w:t>_______________________________</w:t>
            </w:r>
          </w:p>
          <w:p w14:paraId="4A9FDE83"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r w:rsidR="00F34ACB" w:rsidRPr="0029408A">
              <w:rPr>
                <w:rFonts w:ascii="Times New Roman" w:eastAsia="Times New Roman" w:hAnsi="Times New Roman"/>
                <w:color w:val="000000"/>
                <w:sz w:val="24"/>
                <w:szCs w:val="24"/>
                <w:lang w:val="en-GB"/>
              </w:rPr>
              <w:t>the name of the bank</w:t>
            </w:r>
            <w:r w:rsidRPr="0029408A">
              <w:rPr>
                <w:rFonts w:ascii="Times New Roman" w:eastAsia="Times New Roman" w:hAnsi="Times New Roman"/>
                <w:color w:val="000000"/>
                <w:sz w:val="24"/>
                <w:szCs w:val="24"/>
                <w:lang w:val="en-GB"/>
              </w:rPr>
              <w:t>)</w:t>
            </w:r>
          </w:p>
          <w:p w14:paraId="72282014" w14:textId="77777777" w:rsidR="004E6D8A" w:rsidRPr="0029408A" w:rsidRDefault="00F34ACB"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as of</w:t>
            </w:r>
            <w:r w:rsidR="004E6D8A" w:rsidRPr="0029408A">
              <w:rPr>
                <w:rFonts w:ascii="Times New Roman" w:eastAsia="Times New Roman" w:hAnsi="Times New Roman"/>
                <w:b/>
                <w:bCs/>
                <w:color w:val="000000"/>
                <w:sz w:val="24"/>
                <w:szCs w:val="24"/>
                <w:lang w:val="en-GB"/>
              </w:rPr>
              <w:t xml:space="preserve"> </w:t>
            </w:r>
            <w:r w:rsidR="004E6D8A" w:rsidRPr="0029408A">
              <w:rPr>
                <w:rFonts w:ascii="Times New Roman" w:eastAsia="Times New Roman" w:hAnsi="Times New Roman"/>
                <w:color w:val="000000"/>
                <w:sz w:val="24"/>
                <w:szCs w:val="24"/>
                <w:lang w:val="en-GB"/>
              </w:rPr>
              <w:t>________________</w:t>
            </w:r>
            <w:r w:rsidR="004E6D8A" w:rsidRPr="0029408A">
              <w:rPr>
                <w:rFonts w:ascii="Times New Roman" w:eastAsia="Times New Roman" w:hAnsi="Times New Roman"/>
                <w:b/>
                <w:bCs/>
                <w:color w:val="000000"/>
                <w:sz w:val="24"/>
                <w:szCs w:val="24"/>
                <w:lang w:val="en-GB"/>
              </w:rPr>
              <w:t xml:space="preserve"> 20</w:t>
            </w:r>
            <w:r w:rsidR="004E6D8A" w:rsidRPr="0029408A">
              <w:rPr>
                <w:rFonts w:ascii="Times New Roman" w:eastAsia="Times New Roman" w:hAnsi="Times New Roman"/>
                <w:color w:val="000000"/>
                <w:sz w:val="24"/>
                <w:szCs w:val="24"/>
                <w:lang w:val="en-GB"/>
              </w:rPr>
              <w:t>____</w:t>
            </w:r>
          </w:p>
          <w:p w14:paraId="08638CF7"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tc>
      </w:tr>
      <w:tr w:rsidR="000F2B3E" w:rsidRPr="0029408A" w14:paraId="2E0A5538" w14:textId="77777777" w:rsidTr="006E0AC7">
        <w:trPr>
          <w:jc w:val="center"/>
        </w:trPr>
        <w:tc>
          <w:tcPr>
            <w:tcW w:w="952" w:type="pct"/>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vAlign w:val="center"/>
            <w:hideMark/>
          </w:tcPr>
          <w:p w14:paraId="65602F19" w14:textId="77777777" w:rsidR="004E6D8A" w:rsidRPr="0029408A" w:rsidRDefault="007D35B5"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Loan</w:t>
            </w:r>
            <w:r w:rsidR="00C012E7" w:rsidRPr="0029408A">
              <w:rPr>
                <w:rFonts w:ascii="Times New Roman" w:eastAsia="Times New Roman" w:hAnsi="Times New Roman"/>
                <w:b/>
                <w:bCs/>
                <w:color w:val="000000"/>
                <w:sz w:val="24"/>
                <w:szCs w:val="24"/>
                <w:lang w:val="en-GB"/>
              </w:rPr>
              <w:t xml:space="preserve"> branch</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5FBB703" w14:textId="77777777" w:rsidR="004E6D8A" w:rsidRPr="0029408A" w:rsidRDefault="008C58E1" w:rsidP="007D35B5">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 xml:space="preserve">No. of </w:t>
            </w:r>
            <w:r w:rsidR="007D35B5" w:rsidRPr="0029408A">
              <w:rPr>
                <w:rFonts w:ascii="Times New Roman" w:eastAsia="Times New Roman" w:hAnsi="Times New Roman"/>
                <w:b/>
                <w:bCs/>
                <w:color w:val="000000"/>
                <w:sz w:val="24"/>
                <w:szCs w:val="24"/>
                <w:lang w:val="en-GB"/>
              </w:rPr>
              <w:t>loans</w:t>
            </w:r>
            <w:r w:rsidRPr="0029408A">
              <w:rPr>
                <w:rFonts w:ascii="Times New Roman" w:eastAsia="Times New Roman" w:hAnsi="Times New Roman"/>
                <w:b/>
                <w:bCs/>
                <w:color w:val="000000"/>
                <w:sz w:val="24"/>
                <w:szCs w:val="24"/>
                <w:lang w:val="en-GB"/>
              </w:rPr>
              <w:t xml:space="preserve"> granted during the reporting month</w:t>
            </w:r>
          </w:p>
        </w:tc>
        <w:tc>
          <w:tcPr>
            <w:tcW w:w="1758" w:type="pct"/>
            <w:gridSpan w:val="6"/>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14A8BB45" w14:textId="77777777" w:rsidR="004E6D8A" w:rsidRPr="0029408A" w:rsidRDefault="008C58E1"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Loan portfolio, thousand MDL, balance at the end</w:t>
            </w:r>
          </w:p>
        </w:tc>
        <w:tc>
          <w:tcPr>
            <w:tcW w:w="1749" w:type="pct"/>
            <w:gridSpan w:val="6"/>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824FCFE" w14:textId="77777777" w:rsidR="004E6D8A" w:rsidRPr="0029408A" w:rsidRDefault="00F41028" w:rsidP="007D35B5">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 xml:space="preserve">Average interest rate on </w:t>
            </w:r>
            <w:r w:rsidR="007D35B5" w:rsidRPr="0029408A">
              <w:rPr>
                <w:rFonts w:ascii="Times New Roman" w:eastAsia="Times New Roman" w:hAnsi="Times New Roman"/>
                <w:b/>
                <w:bCs/>
                <w:color w:val="000000"/>
                <w:sz w:val="24"/>
                <w:szCs w:val="24"/>
                <w:lang w:val="en-GB"/>
              </w:rPr>
              <w:t xml:space="preserve">loan </w:t>
            </w:r>
            <w:r w:rsidRPr="0029408A">
              <w:rPr>
                <w:rFonts w:ascii="Times New Roman" w:eastAsia="Times New Roman" w:hAnsi="Times New Roman"/>
                <w:b/>
                <w:bCs/>
                <w:color w:val="000000"/>
                <w:sz w:val="24"/>
                <w:szCs w:val="24"/>
                <w:lang w:val="en-GB"/>
              </w:rPr>
              <w:t>balances **% at the end</w:t>
            </w:r>
          </w:p>
        </w:tc>
      </w:tr>
      <w:tr w:rsidR="000F2B3E" w:rsidRPr="0029408A" w14:paraId="7F6E9421" w14:textId="77777777" w:rsidTr="006E0AC7">
        <w:trPr>
          <w:jc w:val="center"/>
        </w:trPr>
        <w:tc>
          <w:tcPr>
            <w:tcW w:w="952" w:type="pct"/>
            <w:vMerge/>
            <w:tcBorders>
              <w:top w:val="single" w:sz="6" w:space="0" w:color="000000"/>
              <w:left w:val="single" w:sz="6" w:space="0" w:color="000000"/>
              <w:bottom w:val="single" w:sz="6" w:space="0" w:color="000000"/>
              <w:right w:val="single" w:sz="6" w:space="0" w:color="000000"/>
            </w:tcBorders>
            <w:vAlign w:val="center"/>
            <w:hideMark/>
          </w:tcPr>
          <w:p w14:paraId="5D7420FB" w14:textId="77777777" w:rsidR="004E6D8A" w:rsidRPr="0029408A" w:rsidRDefault="004E6D8A" w:rsidP="004E6D8A">
            <w:pPr>
              <w:spacing w:after="0" w:line="240" w:lineRule="auto"/>
              <w:rPr>
                <w:rFonts w:ascii="Times New Roman" w:eastAsia="Times New Roman" w:hAnsi="Times New Roman"/>
                <w:b/>
                <w:bCs/>
                <w:color w:val="000000"/>
                <w:sz w:val="24"/>
                <w:szCs w:val="24"/>
                <w:lang w:val="en-GB"/>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4B221CA4" w14:textId="77777777" w:rsidR="004E6D8A" w:rsidRPr="0029408A" w:rsidRDefault="004E6D8A" w:rsidP="004E6D8A">
            <w:pPr>
              <w:spacing w:after="0" w:line="240" w:lineRule="auto"/>
              <w:rPr>
                <w:rFonts w:ascii="Times New Roman" w:eastAsia="Times New Roman" w:hAnsi="Times New Roman"/>
                <w:b/>
                <w:bCs/>
                <w:color w:val="000000"/>
                <w:sz w:val="24"/>
                <w:szCs w:val="24"/>
                <w:lang w:val="en-GB"/>
              </w:rPr>
            </w:pPr>
          </w:p>
        </w:tc>
        <w:tc>
          <w:tcPr>
            <w:tcW w:w="586" w:type="pct"/>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6B1A926" w14:textId="77777777" w:rsidR="004E6D8A" w:rsidRPr="0029408A" w:rsidRDefault="008C58E1"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reporting month</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18B31463" w14:textId="77777777" w:rsidR="004E6D8A" w:rsidRPr="0029408A" w:rsidRDefault="008C58E1"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month preceding the reporting month</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921DDED" w14:textId="77777777" w:rsidR="004E6D8A" w:rsidRPr="0029408A" w:rsidRDefault="008C58E1"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year preceding the reporting year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134B9D46" w14:textId="77777777" w:rsidR="004E6D8A" w:rsidRPr="0029408A" w:rsidRDefault="008C58E1"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reporting month</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56DD478B" w14:textId="77777777" w:rsidR="004E6D8A" w:rsidRPr="0029408A" w:rsidRDefault="008C58E1"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month preceding the reporting month</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20E736B" w14:textId="77777777" w:rsidR="004E6D8A" w:rsidRPr="0029408A" w:rsidRDefault="008C58E1"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year preceding the reporting year</w:t>
            </w:r>
          </w:p>
        </w:tc>
      </w:tr>
      <w:tr w:rsidR="000F2B3E" w:rsidRPr="0029408A" w14:paraId="19761B09" w14:textId="77777777" w:rsidTr="006E0AC7">
        <w:trPr>
          <w:jc w:val="center"/>
        </w:trPr>
        <w:tc>
          <w:tcPr>
            <w:tcW w:w="952" w:type="pct"/>
            <w:vMerge/>
            <w:tcBorders>
              <w:top w:val="single" w:sz="6" w:space="0" w:color="000000"/>
              <w:left w:val="single" w:sz="6" w:space="0" w:color="000000"/>
              <w:bottom w:val="single" w:sz="6" w:space="0" w:color="000000"/>
              <w:right w:val="single" w:sz="6" w:space="0" w:color="000000"/>
            </w:tcBorders>
            <w:vAlign w:val="center"/>
            <w:hideMark/>
          </w:tcPr>
          <w:p w14:paraId="5035A209" w14:textId="77777777" w:rsidR="004E6D8A" w:rsidRPr="0029408A" w:rsidRDefault="004E6D8A" w:rsidP="004E6D8A">
            <w:pPr>
              <w:spacing w:after="0" w:line="240" w:lineRule="auto"/>
              <w:rPr>
                <w:rFonts w:ascii="Times New Roman" w:eastAsia="Times New Roman" w:hAnsi="Times New Roman"/>
                <w:b/>
                <w:bCs/>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4962157" w14:textId="77777777" w:rsidR="004E6D8A" w:rsidRPr="0029408A" w:rsidRDefault="008C58E1"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i</w:t>
            </w:r>
            <w:r w:rsidR="004E6D8A" w:rsidRPr="0029408A">
              <w:rPr>
                <w:rFonts w:ascii="Times New Roman" w:eastAsia="Times New Roman" w:hAnsi="Times New Roman"/>
                <w:b/>
                <w:bCs/>
                <w:color w:val="000000"/>
                <w:sz w:val="24"/>
                <w:szCs w:val="24"/>
                <w:lang w:val="en-GB"/>
              </w:rPr>
              <w:t>n</w:t>
            </w:r>
            <w:r w:rsidR="004E6D8A" w:rsidRPr="0029408A">
              <w:rPr>
                <w:rFonts w:ascii="Times New Roman" w:eastAsia="Times New Roman" w:hAnsi="Times New Roman"/>
                <w:b/>
                <w:bCs/>
                <w:color w:val="000000"/>
                <w:sz w:val="24"/>
                <w:szCs w:val="24"/>
                <w:lang w:val="en-GB"/>
              </w:rPr>
              <w:br/>
              <w:t>MDL</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E89D9EC" w14:textId="77777777" w:rsidR="004E6D8A" w:rsidRPr="0029408A" w:rsidRDefault="008C58E1"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in foreign currency</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97A3257" w14:textId="77777777" w:rsidR="004E6D8A" w:rsidRPr="0029408A" w:rsidRDefault="009671B5"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granted in MDL</w:t>
            </w:r>
          </w:p>
        </w:tc>
        <w:tc>
          <w:tcPr>
            <w:tcW w:w="345" w:type="pc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FE9F3F8" w14:textId="77777777" w:rsidR="004E6D8A" w:rsidRPr="0029408A" w:rsidRDefault="009671B5"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 xml:space="preserve">granted in foreign currency </w:t>
            </w:r>
            <w:r w:rsidR="004E6D8A" w:rsidRPr="0029408A">
              <w:rPr>
                <w:rFonts w:ascii="Times New Roman" w:eastAsia="Times New Roman" w:hAnsi="Times New Roman"/>
                <w:b/>
                <w:bCs/>
                <w:color w:val="000000"/>
                <w:sz w:val="24"/>
                <w:szCs w:val="24"/>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D414C0F" w14:textId="77777777" w:rsidR="004E6D8A" w:rsidRPr="0029408A" w:rsidRDefault="009671B5"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granted in MDL</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D0FA28F" w14:textId="77777777" w:rsidR="004E6D8A" w:rsidRPr="0029408A" w:rsidRDefault="009671B5"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 xml:space="preserve">granted in foreign currency </w:t>
            </w:r>
            <w:r w:rsidR="004E6D8A" w:rsidRPr="0029408A">
              <w:rPr>
                <w:rFonts w:ascii="Times New Roman" w:eastAsia="Times New Roman" w:hAnsi="Times New Roman"/>
                <w:b/>
                <w:bCs/>
                <w:color w:val="000000"/>
                <w:sz w:val="24"/>
                <w:szCs w:val="24"/>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BDC09E3" w14:textId="77777777" w:rsidR="004E6D8A" w:rsidRPr="0029408A" w:rsidRDefault="009671B5"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granted in MDL</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3741D50" w14:textId="77777777" w:rsidR="004E6D8A" w:rsidRPr="0029408A" w:rsidRDefault="009671B5"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 xml:space="preserve">granted in foreign currency </w:t>
            </w:r>
            <w:r w:rsidR="004E6D8A" w:rsidRPr="0029408A">
              <w:rPr>
                <w:rFonts w:ascii="Times New Roman" w:eastAsia="Times New Roman" w:hAnsi="Times New Roman"/>
                <w:b/>
                <w:bCs/>
                <w:color w:val="000000"/>
                <w:sz w:val="24"/>
                <w:szCs w:val="24"/>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895435C" w14:textId="77777777" w:rsidR="004E6D8A" w:rsidRPr="0029408A" w:rsidRDefault="009671B5"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granted in MDL</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6145C3DC" w14:textId="77777777" w:rsidR="004E6D8A" w:rsidRPr="0029408A" w:rsidRDefault="009671B5"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granted in foreign currency</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C77CBE7" w14:textId="77777777" w:rsidR="004E6D8A" w:rsidRPr="0029408A" w:rsidRDefault="009671B5"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granted in MDL</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AD635DC" w14:textId="77777777" w:rsidR="004E6D8A" w:rsidRPr="0029408A" w:rsidRDefault="009671B5"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granted in foreign currency</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6DD03B3" w14:textId="77777777" w:rsidR="004E6D8A" w:rsidRPr="0029408A" w:rsidRDefault="009671B5"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granted in MDL</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17E3CE82" w14:textId="77777777" w:rsidR="004E6D8A" w:rsidRPr="0029408A" w:rsidRDefault="009671B5"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granted in foreign currency</w:t>
            </w:r>
          </w:p>
        </w:tc>
      </w:tr>
      <w:tr w:rsidR="000F2B3E" w:rsidRPr="0029408A" w14:paraId="544AB448" w14:textId="77777777" w:rsidTr="006E0AC7">
        <w:trPr>
          <w:jc w:val="center"/>
        </w:trPr>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7D886" w14:textId="77777777" w:rsidR="004E6D8A" w:rsidRPr="0029408A" w:rsidRDefault="004164ED"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Loans granted to agriculture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A659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94F8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D459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461C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76BD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1674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3196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1863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7B07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AC5E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76A7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C238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B089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68B4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755B9AD8" w14:textId="77777777" w:rsidTr="006E0AC7">
        <w:trPr>
          <w:jc w:val="center"/>
        </w:trPr>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307B2" w14:textId="77777777" w:rsidR="004E6D8A" w:rsidRPr="0029408A" w:rsidRDefault="004164ED"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Loans granted to food industry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B13D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46F8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75AC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2116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2947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5FF8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8D2A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55C9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E724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33B6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AB2F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F76D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E947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2267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0AFD1AFB" w14:textId="77777777" w:rsidTr="006E0AC7">
        <w:trPr>
          <w:jc w:val="center"/>
        </w:trPr>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03FF6" w14:textId="77777777" w:rsidR="004E6D8A" w:rsidRPr="0029408A" w:rsidRDefault="004164ED"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Loans granted in the field of construction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2A4F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0A24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F51B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FC3D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8AC1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F469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43DA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E73A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8BAA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D1D0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EEA7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579B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A90C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130E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239BC277" w14:textId="77777777" w:rsidTr="006E0AC7">
        <w:trPr>
          <w:jc w:val="center"/>
        </w:trPr>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0D099" w14:textId="77777777" w:rsidR="004E6D8A" w:rsidRPr="0029408A" w:rsidRDefault="004164ED"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Consumer loans</w:t>
            </w:r>
            <w:r w:rsidR="004E6D8A" w:rsidRPr="0029408A">
              <w:rPr>
                <w:rFonts w:ascii="Times New Roman" w:eastAsia="Times New Roman" w:hAnsi="Times New Roman"/>
                <w:color w:val="000000"/>
                <w:sz w:val="24"/>
                <w:szCs w:val="24"/>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F470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4183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2569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1B44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EE41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FF77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5EFF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3BF1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749A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0384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C85C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5697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C580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9847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6D4E927A" w14:textId="77777777" w:rsidTr="006E0AC7">
        <w:trPr>
          <w:jc w:val="center"/>
        </w:trPr>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0252D" w14:textId="77777777" w:rsidR="004E6D8A" w:rsidRPr="0029408A" w:rsidRDefault="00827AAD"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Loans granted to energy industry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EEFF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793B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9CE6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0553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19B8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8A2F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0F9E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F1B4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589D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504C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4DE5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2BB9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2B59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C5A3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48975D38" w14:textId="77777777" w:rsidTr="006E0AC7">
        <w:trPr>
          <w:jc w:val="center"/>
        </w:trPr>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6349F" w14:textId="77777777" w:rsidR="004E6D8A" w:rsidRPr="0029408A" w:rsidRDefault="00AF2E78"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Loans granted to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DC3F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33BC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9672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855E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48B5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2250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26B2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4D43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D114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D84F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321B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2555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0798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29C6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5966DA8C" w14:textId="77777777" w:rsidTr="006E0AC7">
        <w:trPr>
          <w:jc w:val="center"/>
        </w:trPr>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01335" w14:textId="77777777" w:rsidR="004E6D8A" w:rsidRPr="0029408A" w:rsidRDefault="00AF2E78"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lastRenderedPageBreak/>
              <w:t>Overnight and overdraft loans granted to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DC2F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CD74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C2B1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EF3B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7A65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4432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1CF5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C389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30C3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758F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CD92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40D9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9C12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2EB3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36CCC485" w14:textId="77777777" w:rsidTr="006E0AC7">
        <w:trPr>
          <w:jc w:val="center"/>
        </w:trPr>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B1BD4" w14:textId="77777777" w:rsidR="004E6D8A" w:rsidRPr="0029408A" w:rsidRDefault="00560C2F"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Loans granted to institutions financed from the state budget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76E3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C9B9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98E4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409E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C505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2CB4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D736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125F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B202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CFEF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EF7B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11B9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C44F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EEB7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7CD9CC90" w14:textId="77777777" w:rsidTr="006E0AC7">
        <w:trPr>
          <w:jc w:val="center"/>
        </w:trPr>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BFF4D" w14:textId="77777777" w:rsidR="004E6D8A" w:rsidRPr="0029408A" w:rsidRDefault="00E17F46"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Loans granted to the National Social Insurance House / National Medical Insurance Company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E16C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C6FB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590E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498D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8C02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18E8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4FD5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81D4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8978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A8C6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9549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FD4E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7F2B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845C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78274897" w14:textId="77777777" w:rsidTr="006E0AC7">
        <w:trPr>
          <w:jc w:val="center"/>
        </w:trPr>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9B862" w14:textId="77777777" w:rsidR="004E6D8A" w:rsidRPr="0029408A" w:rsidRDefault="00E17F46"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Loans granted to the Government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35C0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F070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DB37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ADC3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EC06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7555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2512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0683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AC30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97E9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B7CB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D5CD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F797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3065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120CDAA7" w14:textId="77777777" w:rsidTr="006E0AC7">
        <w:trPr>
          <w:jc w:val="center"/>
        </w:trPr>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8B4E8" w14:textId="77777777" w:rsidR="004E6D8A" w:rsidRPr="0029408A" w:rsidRDefault="00E17F46"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Loans granted to administrative-territorial units / institutions</w:t>
            </w:r>
            <w:r w:rsidR="002C3832" w:rsidRPr="0029408A">
              <w:rPr>
                <w:rFonts w:ascii="Times New Roman" w:eastAsia="Times New Roman" w:hAnsi="Times New Roman"/>
                <w:color w:val="000000"/>
                <w:sz w:val="24"/>
                <w:szCs w:val="24"/>
                <w:lang w:val="en-GB"/>
              </w:rPr>
              <w:t xml:space="preserve"> subordinated to administrative-territorial units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0D90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3F7C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66E2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BCF1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47CC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476F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518C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480D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F2C7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AB1C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29DC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C5CA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C09D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2C21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3CC10FB1" w14:textId="77777777" w:rsidTr="006E0AC7">
        <w:trPr>
          <w:jc w:val="center"/>
        </w:trPr>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CFA88" w14:textId="77777777" w:rsidR="004E6D8A" w:rsidRPr="0029408A" w:rsidRDefault="00C321B3"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Loans granted to the productive industry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4004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BB1E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5E74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582C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5ED4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D458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0A8A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3D8E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3F61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4E61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ACA8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796C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FF09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D8F5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4E8EE816" w14:textId="77777777" w:rsidTr="006E0AC7">
        <w:trPr>
          <w:jc w:val="center"/>
        </w:trPr>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3C248" w14:textId="77777777" w:rsidR="004E6D8A" w:rsidRPr="0029408A" w:rsidRDefault="00C321B3"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Trade loans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11AD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FD6B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DFDA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9E11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C0F6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7041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47F8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D5F7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3667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FAD9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34E1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70F0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8A7D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B6F0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661FA4A5" w14:textId="77777777" w:rsidTr="006E0AC7">
        <w:trPr>
          <w:jc w:val="center"/>
        </w:trPr>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A6297" w14:textId="77777777" w:rsidR="004E6D8A" w:rsidRPr="0029408A" w:rsidRDefault="00C321B3"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Loans granted to the non-banking financial environment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5297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3FE8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7CA5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A7B3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6DB3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53AE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0987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6C99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0084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9AF8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0C3D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6B0A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2E4E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5739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73931F9F" w14:textId="77777777" w:rsidTr="006E0AC7">
        <w:trPr>
          <w:jc w:val="center"/>
        </w:trPr>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C2A67" w14:textId="77777777" w:rsidR="004E6D8A" w:rsidRPr="0029408A" w:rsidRDefault="00F60DD5"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Loans granted for the purchase / </w:t>
            </w:r>
            <w:r w:rsidRPr="0029408A">
              <w:rPr>
                <w:rFonts w:ascii="Times New Roman" w:eastAsia="Times New Roman" w:hAnsi="Times New Roman"/>
                <w:color w:val="000000"/>
                <w:sz w:val="24"/>
                <w:szCs w:val="24"/>
                <w:lang w:val="en-GB"/>
              </w:rPr>
              <w:lastRenderedPageBreak/>
              <w:t>construction of the building</w:t>
            </w:r>
            <w:r w:rsidR="004E6D8A" w:rsidRPr="0029408A">
              <w:rPr>
                <w:rFonts w:ascii="Times New Roman" w:eastAsia="Times New Roman" w:hAnsi="Times New Roman"/>
                <w:color w:val="000000"/>
                <w:sz w:val="24"/>
                <w:szCs w:val="24"/>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390C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6EB1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5399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FB2E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ECF0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96FE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7A0E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4949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6049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A8EC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499D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FEC9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3F18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5F3B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0DCE7D2F" w14:textId="77777777" w:rsidTr="006E0AC7">
        <w:trPr>
          <w:jc w:val="center"/>
        </w:trPr>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111CB" w14:textId="77777777" w:rsidR="004E6D8A" w:rsidRPr="0029408A" w:rsidRDefault="000A4058"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Loans granted to non-profit organizations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47C7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8252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6BC2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D4D0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1FBF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BD91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4478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A0A9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6662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9D1B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E3FE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566C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53B3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E3D3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50A4A4D3" w14:textId="77777777" w:rsidTr="006E0AC7">
        <w:trPr>
          <w:jc w:val="center"/>
        </w:trPr>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53BA1" w14:textId="77777777" w:rsidR="004E6D8A" w:rsidRPr="0029408A" w:rsidRDefault="00B13CC2"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Loans granted to individuals practicing activity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D7B3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D8E4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81FC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7AA9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7935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CEE9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ACDB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370E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F0C0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D7F0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DF2A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2A75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B8BB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B47F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08AF8584" w14:textId="77777777" w:rsidTr="006E0AC7">
        <w:trPr>
          <w:jc w:val="center"/>
        </w:trPr>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4012D" w14:textId="77777777" w:rsidR="004E6D8A" w:rsidRPr="0029408A" w:rsidRDefault="00B13CC2"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Loans granted in the field of transport, telecommunications and network development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E02F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4EC5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A9B7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A2AD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A96C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7494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3F63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9CE1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3F29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F5BF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7A79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405D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0203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06D5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650B4F62" w14:textId="77777777" w:rsidTr="006E0AC7">
        <w:trPr>
          <w:jc w:val="center"/>
        </w:trPr>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1C370" w14:textId="77777777" w:rsidR="004E6D8A" w:rsidRPr="0029408A" w:rsidRDefault="00B13CC2"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Loans granted in the field of service provision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3792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BA25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0916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7823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BA22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82C5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93F8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7BE1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374B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1181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74B7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78F0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6647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A200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147FF2C6" w14:textId="77777777" w:rsidTr="006E0AC7">
        <w:trPr>
          <w:jc w:val="center"/>
        </w:trPr>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14E32" w14:textId="77777777" w:rsidR="004E6D8A" w:rsidRPr="0029408A" w:rsidRDefault="00B13CC2"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Other loans granted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1CE1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B76C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7D1B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5EA4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A26B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C5B3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3A53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537B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67AE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60EE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711E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7B90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1BB7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1F5D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76BD4AB6" w14:textId="77777777" w:rsidTr="00AA4EA2">
        <w:trPr>
          <w:jc w:val="center"/>
        </w:trPr>
        <w:tc>
          <w:tcPr>
            <w:tcW w:w="5000" w:type="pct"/>
            <w:gridSpan w:val="15"/>
            <w:tcBorders>
              <w:top w:val="nil"/>
              <w:left w:val="nil"/>
              <w:bottom w:val="nil"/>
              <w:right w:val="nil"/>
            </w:tcBorders>
            <w:tcMar>
              <w:top w:w="24" w:type="dxa"/>
              <w:left w:w="48" w:type="dxa"/>
              <w:bottom w:w="24" w:type="dxa"/>
              <w:right w:w="48" w:type="dxa"/>
            </w:tcMar>
            <w:hideMark/>
          </w:tcPr>
          <w:p w14:paraId="0B9150F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  </w:t>
            </w:r>
          </w:p>
          <w:p w14:paraId="60DC5664" w14:textId="77777777" w:rsidR="004E6D8A" w:rsidRPr="0029408A" w:rsidRDefault="008F4209"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 xml:space="preserve">NOTE: </w:t>
            </w:r>
            <w:r w:rsidRPr="0029408A">
              <w:rPr>
                <w:rFonts w:ascii="Times New Roman" w:eastAsia="Times New Roman" w:hAnsi="Times New Roman"/>
                <w:bCs/>
                <w:color w:val="000000"/>
                <w:sz w:val="24"/>
                <w:szCs w:val="24"/>
                <w:lang w:val="en-GB"/>
              </w:rPr>
              <w:t xml:space="preserve">The information is published in accordance with the provisions of the Regulation on the requirements for publication of information by banks. The distribution of </w:t>
            </w:r>
            <w:r w:rsidR="004F3DBF" w:rsidRPr="0029408A">
              <w:rPr>
                <w:rFonts w:ascii="Times New Roman" w:eastAsia="Times New Roman" w:hAnsi="Times New Roman"/>
                <w:bCs/>
                <w:color w:val="000000"/>
                <w:sz w:val="24"/>
                <w:szCs w:val="24"/>
                <w:lang w:val="en-GB"/>
              </w:rPr>
              <w:t>loans</w:t>
            </w:r>
            <w:r w:rsidRPr="0029408A">
              <w:rPr>
                <w:rFonts w:ascii="Times New Roman" w:eastAsia="Times New Roman" w:hAnsi="Times New Roman"/>
                <w:bCs/>
                <w:color w:val="000000"/>
                <w:sz w:val="24"/>
                <w:szCs w:val="24"/>
                <w:lang w:val="en-GB"/>
              </w:rPr>
              <w:t xml:space="preserve"> will be made according to point 16 of How to prepare the Daily Report on the loan portfolio granted and the credit commitments assumed in Annex no.1 to the Instruction on the preparation and presentation by banks of primary reports in order to identify and monitor credit risk, approved by the Decision of the Executive Board of the National Bank of Moldova no. 54 of March 9, 2016.</w:t>
            </w:r>
          </w:p>
          <w:p w14:paraId="7FEB36C8"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p w14:paraId="7DA18B8A"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w:t>
            </w:r>
            <w:r w:rsidRPr="0029408A">
              <w:rPr>
                <w:rFonts w:ascii="Times New Roman" w:eastAsia="Times New Roman" w:hAnsi="Times New Roman"/>
                <w:color w:val="000000"/>
                <w:sz w:val="24"/>
                <w:szCs w:val="24"/>
                <w:lang w:val="en-GB"/>
              </w:rPr>
              <w:t xml:space="preserve"> </w:t>
            </w:r>
            <w:proofErr w:type="gramStart"/>
            <w:r w:rsidR="008F4209" w:rsidRPr="0029408A">
              <w:rPr>
                <w:rFonts w:ascii="Times New Roman" w:eastAsia="Times New Roman" w:hAnsi="Times New Roman"/>
                <w:color w:val="000000"/>
                <w:sz w:val="24"/>
                <w:szCs w:val="24"/>
                <w:lang w:val="en-GB"/>
              </w:rPr>
              <w:t>the</w:t>
            </w:r>
            <w:proofErr w:type="gramEnd"/>
            <w:r w:rsidR="008F4209" w:rsidRPr="0029408A">
              <w:rPr>
                <w:rFonts w:ascii="Times New Roman" w:eastAsia="Times New Roman" w:hAnsi="Times New Roman"/>
                <w:color w:val="000000"/>
                <w:sz w:val="24"/>
                <w:szCs w:val="24"/>
                <w:lang w:val="en-GB"/>
              </w:rPr>
              <w:t xml:space="preserve"> amounts of loans in foreign currency are recalculated at the official exchange rate of the Moldovan leu valid on the reporting date.</w:t>
            </w:r>
          </w:p>
          <w:p w14:paraId="39733B1F"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 </w:t>
            </w:r>
            <w:r w:rsidR="00420B37" w:rsidRPr="0029408A">
              <w:rPr>
                <w:rFonts w:ascii="Times New Roman" w:eastAsia="Times New Roman" w:hAnsi="Times New Roman"/>
                <w:color w:val="000000"/>
                <w:sz w:val="24"/>
                <w:szCs w:val="24"/>
                <w:lang w:val="en-GB"/>
              </w:rPr>
              <w:t>shall be</w:t>
            </w:r>
            <w:r w:rsidR="00E216D1" w:rsidRPr="0029408A">
              <w:rPr>
                <w:rFonts w:ascii="Times New Roman" w:eastAsia="Times New Roman" w:hAnsi="Times New Roman"/>
                <w:color w:val="000000"/>
                <w:sz w:val="24"/>
                <w:szCs w:val="24"/>
                <w:lang w:val="en-GB"/>
              </w:rPr>
              <w:t xml:space="preserve"> calculated according to point 4 of the Instruction on the preparation and presentation of reports on interest rates applied by banks in the Republic of Moldova, approved by Decision of the Executive Board of the National Bank of Moldova no. 331 of December 1, 2016 (hereinafter - Instruction No. 331/2016).</w:t>
            </w:r>
          </w:p>
          <w:p w14:paraId="14AFF632"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 </w:t>
            </w:r>
            <w:r w:rsidR="002C3C0C" w:rsidRPr="0029408A">
              <w:rPr>
                <w:rFonts w:ascii="Times New Roman" w:eastAsia="Times New Roman" w:hAnsi="Times New Roman"/>
                <w:color w:val="000000"/>
                <w:sz w:val="24"/>
                <w:szCs w:val="24"/>
                <w:lang w:val="en-GB"/>
              </w:rPr>
              <w:t>Loans granted to individuals, with the exception of individuals engaged in activity, are classified under "Other loans granted", according to the characteristics of group of accounts 1490, 1510 and others, which were not reflec</w:t>
            </w:r>
            <w:r w:rsidR="004F3DBF" w:rsidRPr="0029408A">
              <w:rPr>
                <w:rFonts w:ascii="Times New Roman" w:eastAsia="Times New Roman" w:hAnsi="Times New Roman"/>
                <w:color w:val="000000"/>
                <w:sz w:val="24"/>
                <w:szCs w:val="24"/>
                <w:lang w:val="en-GB"/>
              </w:rPr>
              <w:t>ted in the other types of loans</w:t>
            </w:r>
            <w:r w:rsidR="002C3C0C" w:rsidRPr="0029408A">
              <w:rPr>
                <w:rFonts w:ascii="Times New Roman" w:eastAsia="Times New Roman" w:hAnsi="Times New Roman"/>
                <w:color w:val="000000"/>
                <w:sz w:val="24"/>
                <w:szCs w:val="24"/>
                <w:lang w:val="en-GB"/>
              </w:rPr>
              <w:t>.</w:t>
            </w:r>
          </w:p>
          <w:p w14:paraId="3D849F27"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 </w:t>
            </w:r>
            <w:r w:rsidR="002C3C0C" w:rsidRPr="0029408A">
              <w:rPr>
                <w:rFonts w:ascii="Times New Roman" w:eastAsia="Times New Roman" w:hAnsi="Times New Roman"/>
                <w:color w:val="000000"/>
                <w:sz w:val="24"/>
                <w:szCs w:val="24"/>
                <w:lang w:val="en-GB"/>
              </w:rPr>
              <w:t>loans granted to individuals who do not practice entrepreneurial activity.</w:t>
            </w:r>
          </w:p>
          <w:p w14:paraId="23DA5D7B"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p w14:paraId="0B410803" w14:textId="77777777" w:rsidR="004E6D8A" w:rsidRPr="0029408A" w:rsidRDefault="00C84025"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Signature</w:t>
            </w:r>
            <w:r w:rsidR="004E6D8A" w:rsidRPr="0029408A">
              <w:rPr>
                <w:rFonts w:ascii="Times New Roman" w:eastAsia="Times New Roman" w:hAnsi="Times New Roman"/>
                <w:b/>
                <w:bCs/>
                <w:color w:val="000000"/>
                <w:sz w:val="24"/>
                <w:szCs w:val="24"/>
                <w:lang w:val="en-GB"/>
              </w:rPr>
              <w:t>:</w:t>
            </w:r>
          </w:p>
          <w:p w14:paraId="58DD03C6" w14:textId="77777777" w:rsidR="004E6D8A" w:rsidRPr="0029408A" w:rsidRDefault="00C84025"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hAnsi="Times New Roman"/>
                <w:b/>
                <w:bCs/>
                <w:color w:val="000000"/>
                <w:sz w:val="24"/>
                <w:lang w:val="en-GB"/>
              </w:rPr>
              <w:lastRenderedPageBreak/>
              <w:t xml:space="preserve">Head of the bank's </w:t>
            </w:r>
            <w:r w:rsidR="00371EF8" w:rsidRPr="0029408A">
              <w:rPr>
                <w:rFonts w:ascii="Times New Roman" w:hAnsi="Times New Roman"/>
                <w:b/>
                <w:bCs/>
                <w:color w:val="000000"/>
                <w:sz w:val="24"/>
                <w:lang w:val="en-GB"/>
              </w:rPr>
              <w:t>executive body</w:t>
            </w:r>
            <w:r w:rsidRPr="0029408A">
              <w:rPr>
                <w:rFonts w:ascii="Times New Roman" w:eastAsia="Times New Roman" w:hAnsi="Times New Roman"/>
                <w:color w:val="000000"/>
                <w:sz w:val="24"/>
                <w:szCs w:val="24"/>
                <w:lang w:val="en-GB"/>
              </w:rPr>
              <w:t xml:space="preserve"> </w:t>
            </w:r>
            <w:r w:rsidR="004E6D8A" w:rsidRPr="0029408A">
              <w:rPr>
                <w:rFonts w:ascii="Times New Roman" w:eastAsia="Times New Roman" w:hAnsi="Times New Roman"/>
                <w:color w:val="000000"/>
                <w:sz w:val="24"/>
                <w:szCs w:val="24"/>
                <w:lang w:val="en-GB"/>
              </w:rPr>
              <w:t>_____________________________</w:t>
            </w:r>
            <w:r w:rsidR="004E6D8A" w:rsidRPr="0029408A">
              <w:rPr>
                <w:rFonts w:ascii="Times New Roman" w:eastAsia="Times New Roman" w:hAnsi="Times New Roman"/>
                <w:b/>
                <w:bCs/>
                <w:color w:val="000000"/>
                <w:sz w:val="24"/>
                <w:szCs w:val="24"/>
                <w:lang w:val="en-GB"/>
              </w:rPr>
              <w:t xml:space="preserve">        </w:t>
            </w:r>
          </w:p>
          <w:p w14:paraId="31E6B4F9" w14:textId="77777777" w:rsidR="004E6D8A" w:rsidRPr="0029408A" w:rsidRDefault="004E6D8A" w:rsidP="004E6D8A">
            <w:pPr>
              <w:spacing w:after="0" w:line="240" w:lineRule="auto"/>
              <w:ind w:left="3686"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vertAlign w:val="superscript"/>
                <w:lang w:val="en-GB"/>
              </w:rPr>
              <w:t>                     (</w:t>
            </w:r>
            <w:r w:rsidR="00C84025" w:rsidRPr="0029408A">
              <w:rPr>
                <w:rFonts w:ascii="Times New Roman" w:hAnsi="Times New Roman"/>
                <w:color w:val="000000"/>
                <w:sz w:val="18"/>
                <w:lang w:val="en-GB"/>
              </w:rPr>
              <w:t>name, surname, position</w:t>
            </w:r>
            <w:r w:rsidR="00C84025" w:rsidRPr="0029408A">
              <w:rPr>
                <w:rFonts w:ascii="Times New Roman" w:eastAsia="Times New Roman" w:hAnsi="Times New Roman"/>
                <w:color w:val="000000"/>
                <w:sz w:val="24"/>
                <w:szCs w:val="24"/>
                <w:vertAlign w:val="superscript"/>
                <w:lang w:val="en-GB"/>
              </w:rPr>
              <w:t>)</w:t>
            </w:r>
          </w:p>
          <w:p w14:paraId="7AB97976"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p w14:paraId="3875AF3C" w14:textId="77777777" w:rsidR="004E6D8A" w:rsidRPr="0029408A" w:rsidRDefault="00C84025"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hAnsi="Times New Roman"/>
                <w:b/>
                <w:bCs/>
                <w:color w:val="000000"/>
                <w:lang w:val="en-GB"/>
              </w:rPr>
              <w:t>Date of preparation</w:t>
            </w:r>
            <w:r w:rsidR="00092DBE" w:rsidRPr="0029408A">
              <w:rPr>
                <w:rFonts w:ascii="Times New Roman" w:eastAsia="Times New Roman" w:hAnsi="Times New Roman"/>
                <w:b/>
                <w:bCs/>
                <w:color w:val="000000"/>
                <w:sz w:val="24"/>
                <w:szCs w:val="24"/>
                <w:lang w:val="en-GB"/>
              </w:rPr>
              <w:t xml:space="preserve"> </w:t>
            </w:r>
            <w:r w:rsidR="004E6D8A" w:rsidRPr="0029408A">
              <w:rPr>
                <w:rFonts w:ascii="Times New Roman" w:eastAsia="Times New Roman" w:hAnsi="Times New Roman"/>
                <w:color w:val="000000"/>
                <w:sz w:val="24"/>
                <w:szCs w:val="24"/>
                <w:lang w:val="en-GB"/>
              </w:rPr>
              <w:t>____________________</w:t>
            </w:r>
          </w:p>
          <w:p w14:paraId="15D064F2" w14:textId="77777777" w:rsidR="004E6D8A" w:rsidRPr="0029408A" w:rsidRDefault="004E6D8A" w:rsidP="00466DEF">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tc>
      </w:tr>
    </w:tbl>
    <w:p w14:paraId="56E82E2A" w14:textId="77777777" w:rsidR="00C84025" w:rsidRPr="0029408A" w:rsidRDefault="00C84025" w:rsidP="00C84025">
      <w:pPr>
        <w:spacing w:after="0" w:line="240" w:lineRule="auto"/>
        <w:jc w:val="both"/>
        <w:rPr>
          <w:rFonts w:ascii="Times New Roman" w:eastAsia="Times New Roman" w:hAnsi="Times New Roman"/>
          <w:color w:val="000000"/>
          <w:sz w:val="24"/>
          <w:szCs w:val="24"/>
          <w:lang w:val="en-GB"/>
        </w:rPr>
      </w:pPr>
    </w:p>
    <w:p w14:paraId="243FD973" w14:textId="77777777" w:rsidR="003D019F" w:rsidRPr="0029408A" w:rsidRDefault="004E6D8A" w:rsidP="00C84025">
      <w:pPr>
        <w:spacing w:after="0" w:line="240" w:lineRule="auto"/>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r w:rsidR="003D019F" w:rsidRPr="0029408A">
        <w:rPr>
          <w:rFonts w:ascii="Times New Roman" w:eastAsia="Times New Roman" w:hAnsi="Times New Roman"/>
          <w:color w:val="000000"/>
          <w:sz w:val="24"/>
          <w:szCs w:val="24"/>
          <w:lang w:val="en-GB"/>
        </w:rPr>
        <w:br w:type="page"/>
      </w:r>
    </w:p>
    <w:p w14:paraId="4085E299"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p>
    <w:tbl>
      <w:tblPr>
        <w:tblW w:w="5270" w:type="pct"/>
        <w:jc w:val="center"/>
        <w:tblCellMar>
          <w:top w:w="15" w:type="dxa"/>
          <w:left w:w="15" w:type="dxa"/>
          <w:bottom w:w="15" w:type="dxa"/>
          <w:right w:w="15" w:type="dxa"/>
        </w:tblCellMar>
        <w:tblLook w:val="04A0" w:firstRow="1" w:lastRow="0" w:firstColumn="1" w:lastColumn="0" w:noHBand="0" w:noVBand="1"/>
      </w:tblPr>
      <w:tblGrid>
        <w:gridCol w:w="2090"/>
        <w:gridCol w:w="989"/>
        <w:gridCol w:w="1016"/>
        <w:gridCol w:w="989"/>
        <w:gridCol w:w="1016"/>
        <w:gridCol w:w="989"/>
        <w:gridCol w:w="1139"/>
        <w:gridCol w:w="989"/>
        <w:gridCol w:w="1047"/>
        <w:gridCol w:w="989"/>
        <w:gridCol w:w="1047"/>
        <w:gridCol w:w="989"/>
        <w:gridCol w:w="1016"/>
      </w:tblGrid>
      <w:tr w:rsidR="000F2B3E" w:rsidRPr="0029408A" w14:paraId="53B37205" w14:textId="77777777" w:rsidTr="00B46D01">
        <w:trPr>
          <w:jc w:val="center"/>
        </w:trPr>
        <w:tc>
          <w:tcPr>
            <w:tcW w:w="5000" w:type="pct"/>
            <w:gridSpan w:val="13"/>
            <w:tcBorders>
              <w:top w:val="nil"/>
              <w:left w:val="nil"/>
              <w:bottom w:val="nil"/>
              <w:right w:val="nil"/>
            </w:tcBorders>
            <w:tcMar>
              <w:top w:w="24" w:type="dxa"/>
              <w:left w:w="48" w:type="dxa"/>
              <w:bottom w:w="24" w:type="dxa"/>
              <w:right w:w="48" w:type="dxa"/>
            </w:tcMar>
            <w:hideMark/>
          </w:tcPr>
          <w:p w14:paraId="6B52EEE8" w14:textId="77777777" w:rsidR="00C84025" w:rsidRPr="0029408A" w:rsidRDefault="00C84025" w:rsidP="00C84025">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Annex No. 3 </w:t>
            </w:r>
          </w:p>
          <w:p w14:paraId="67A426A0" w14:textId="77777777" w:rsidR="00420B37" w:rsidRPr="0029408A" w:rsidRDefault="00420B37" w:rsidP="00420B37">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to the </w:t>
            </w:r>
            <w:r w:rsidRPr="0029408A">
              <w:rPr>
                <w:rFonts w:ascii="Times New Roman" w:eastAsia="Times New Roman" w:hAnsi="Times New Roman"/>
                <w:bCs/>
                <w:color w:val="000000"/>
                <w:sz w:val="24"/>
                <w:szCs w:val="24"/>
                <w:lang w:val="en-GB"/>
              </w:rPr>
              <w:t>Regulation on the requirements for publication</w:t>
            </w:r>
          </w:p>
          <w:p w14:paraId="1F6ABB24" w14:textId="77777777" w:rsidR="00420B37" w:rsidRPr="0029408A" w:rsidRDefault="00420B37" w:rsidP="00420B37">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bCs/>
                <w:color w:val="000000"/>
                <w:sz w:val="24"/>
                <w:szCs w:val="24"/>
                <w:lang w:val="en-GB"/>
              </w:rPr>
              <w:t>of information by banks</w:t>
            </w:r>
            <w:r w:rsidRPr="0029408A">
              <w:rPr>
                <w:rFonts w:ascii="Times New Roman" w:eastAsia="Times New Roman" w:hAnsi="Times New Roman"/>
                <w:color w:val="000000"/>
                <w:sz w:val="24"/>
                <w:szCs w:val="24"/>
                <w:lang w:val="en-GB" w:eastAsia="ru-RU"/>
              </w:rPr>
              <w:t xml:space="preserve"> </w:t>
            </w:r>
          </w:p>
          <w:p w14:paraId="5C9A26F3" w14:textId="77777777" w:rsidR="00C84025" w:rsidRPr="0029408A" w:rsidRDefault="00C84025" w:rsidP="00C84025">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eastAsia="ru-RU"/>
              </w:rPr>
              <w:t xml:space="preserve"> </w:t>
            </w:r>
          </w:p>
          <w:p w14:paraId="20D50E13" w14:textId="77777777" w:rsidR="003D019F" w:rsidRPr="0029408A" w:rsidRDefault="00FF5300" w:rsidP="007E195C">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eastAsia="ru-RU"/>
              </w:rPr>
              <w:t xml:space="preserve"> </w:t>
            </w:r>
          </w:p>
          <w:p w14:paraId="2889A18E" w14:textId="77777777" w:rsidR="004E6D8A" w:rsidRPr="0029408A" w:rsidRDefault="004E6D8A"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 </w:t>
            </w:r>
          </w:p>
          <w:p w14:paraId="43079655" w14:textId="77777777" w:rsidR="004E6D8A" w:rsidRPr="0029408A" w:rsidRDefault="00C84025"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INFORMATION</w:t>
            </w:r>
          </w:p>
          <w:p w14:paraId="151F1B3D" w14:textId="77777777" w:rsidR="004E6D8A" w:rsidRPr="0029408A" w:rsidRDefault="00C84025"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on deposits</w:t>
            </w:r>
            <w:r w:rsidR="004E6D8A" w:rsidRPr="0029408A">
              <w:rPr>
                <w:rFonts w:ascii="Times New Roman" w:eastAsia="Times New Roman" w:hAnsi="Times New Roman"/>
                <w:b/>
                <w:bCs/>
                <w:color w:val="000000"/>
                <w:sz w:val="24"/>
                <w:szCs w:val="24"/>
                <w:lang w:val="en-GB"/>
              </w:rPr>
              <w:t xml:space="preserve"> </w:t>
            </w:r>
            <w:r w:rsidR="004E6D8A" w:rsidRPr="0029408A">
              <w:rPr>
                <w:rFonts w:ascii="Times New Roman" w:eastAsia="Times New Roman" w:hAnsi="Times New Roman"/>
                <w:color w:val="000000"/>
                <w:sz w:val="24"/>
                <w:szCs w:val="24"/>
                <w:lang w:val="en-GB"/>
              </w:rPr>
              <w:t>_______________________________</w:t>
            </w:r>
          </w:p>
          <w:p w14:paraId="6564BD43"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r w:rsidR="00C84025" w:rsidRPr="0029408A">
              <w:rPr>
                <w:rFonts w:ascii="Times New Roman" w:eastAsia="Times New Roman" w:hAnsi="Times New Roman"/>
                <w:color w:val="000000"/>
                <w:sz w:val="24"/>
                <w:szCs w:val="24"/>
                <w:lang w:val="en-GB"/>
              </w:rPr>
              <w:t>the name of the bank</w:t>
            </w:r>
            <w:r w:rsidRPr="0029408A">
              <w:rPr>
                <w:rFonts w:ascii="Times New Roman" w:eastAsia="Times New Roman" w:hAnsi="Times New Roman"/>
                <w:color w:val="000000"/>
                <w:sz w:val="24"/>
                <w:szCs w:val="24"/>
                <w:lang w:val="en-GB"/>
              </w:rPr>
              <w:t>)</w:t>
            </w:r>
          </w:p>
          <w:p w14:paraId="64BDA5D4" w14:textId="77777777" w:rsidR="004E6D8A" w:rsidRPr="0029408A" w:rsidRDefault="00C84025"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as of</w:t>
            </w:r>
            <w:r w:rsidR="004E6D8A" w:rsidRPr="0029408A">
              <w:rPr>
                <w:rFonts w:ascii="Times New Roman" w:eastAsia="Times New Roman" w:hAnsi="Times New Roman"/>
                <w:b/>
                <w:bCs/>
                <w:color w:val="000000"/>
                <w:sz w:val="24"/>
                <w:szCs w:val="24"/>
                <w:lang w:val="en-GB"/>
              </w:rPr>
              <w:t xml:space="preserve"> </w:t>
            </w:r>
            <w:r w:rsidR="004E6D8A" w:rsidRPr="0029408A">
              <w:rPr>
                <w:rFonts w:ascii="Times New Roman" w:eastAsia="Times New Roman" w:hAnsi="Times New Roman"/>
                <w:color w:val="000000"/>
                <w:sz w:val="24"/>
                <w:szCs w:val="24"/>
                <w:lang w:val="en-GB"/>
              </w:rPr>
              <w:t>________________</w:t>
            </w:r>
            <w:r w:rsidR="004E6D8A" w:rsidRPr="0029408A">
              <w:rPr>
                <w:rFonts w:ascii="Times New Roman" w:eastAsia="Times New Roman" w:hAnsi="Times New Roman"/>
                <w:b/>
                <w:bCs/>
                <w:color w:val="000000"/>
                <w:sz w:val="24"/>
                <w:szCs w:val="24"/>
                <w:lang w:val="en-GB"/>
              </w:rPr>
              <w:t xml:space="preserve"> 20</w:t>
            </w:r>
            <w:r w:rsidR="004E6D8A" w:rsidRPr="0029408A">
              <w:rPr>
                <w:rFonts w:ascii="Times New Roman" w:eastAsia="Times New Roman" w:hAnsi="Times New Roman"/>
                <w:color w:val="000000"/>
                <w:sz w:val="24"/>
                <w:szCs w:val="24"/>
                <w:lang w:val="en-GB"/>
              </w:rPr>
              <w:t>___</w:t>
            </w:r>
          </w:p>
          <w:p w14:paraId="5A8FA4D5"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tc>
      </w:tr>
      <w:tr w:rsidR="000F2B3E" w:rsidRPr="0029408A" w14:paraId="339C248E" w14:textId="77777777" w:rsidTr="00D07D44">
        <w:trPr>
          <w:jc w:val="center"/>
        </w:trPr>
        <w:tc>
          <w:tcPr>
            <w:tcW w:w="795" w:type="pct"/>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vAlign w:val="center"/>
            <w:hideMark/>
          </w:tcPr>
          <w:p w14:paraId="262A0036" w14:textId="77777777" w:rsidR="004E6D8A" w:rsidRPr="0029408A" w:rsidRDefault="00105E59"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Type of deposit</w:t>
            </w:r>
          </w:p>
        </w:tc>
        <w:tc>
          <w:tcPr>
            <w:tcW w:w="2102" w:type="pct"/>
            <w:gridSpan w:val="6"/>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456DBA7" w14:textId="77777777" w:rsidR="004E6D8A" w:rsidRPr="0029408A" w:rsidRDefault="00105E59"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Deposit portfolio, thousand MDL, balance at the end</w:t>
            </w:r>
          </w:p>
        </w:tc>
        <w:tc>
          <w:tcPr>
            <w:tcW w:w="2102" w:type="pct"/>
            <w:gridSpan w:val="6"/>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3356CD0" w14:textId="77777777" w:rsidR="004E6D8A" w:rsidRPr="0029408A" w:rsidRDefault="00105E59"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Average interest rate on deposit balances ***% at the end</w:t>
            </w:r>
          </w:p>
        </w:tc>
      </w:tr>
      <w:tr w:rsidR="00105E59" w:rsidRPr="0029408A" w14:paraId="667AA574" w14:textId="77777777" w:rsidTr="00D07D44">
        <w:trPr>
          <w:jc w:val="center"/>
        </w:trPr>
        <w:tc>
          <w:tcPr>
            <w:tcW w:w="795" w:type="pct"/>
            <w:vMerge/>
            <w:tcBorders>
              <w:top w:val="single" w:sz="6" w:space="0" w:color="000000"/>
              <w:left w:val="single" w:sz="6" w:space="0" w:color="000000"/>
              <w:bottom w:val="single" w:sz="6" w:space="0" w:color="000000"/>
              <w:right w:val="single" w:sz="6" w:space="0" w:color="000000"/>
            </w:tcBorders>
            <w:vAlign w:val="center"/>
            <w:hideMark/>
          </w:tcPr>
          <w:p w14:paraId="08332FE3" w14:textId="77777777" w:rsidR="00105E59" w:rsidRPr="0029408A" w:rsidRDefault="00105E59" w:rsidP="00105E59">
            <w:pPr>
              <w:spacing w:after="0" w:line="240" w:lineRule="auto"/>
              <w:rPr>
                <w:rFonts w:ascii="Times New Roman" w:eastAsia="Times New Roman" w:hAnsi="Times New Roman"/>
                <w:b/>
                <w:bCs/>
                <w:color w:val="000000"/>
                <w:sz w:val="24"/>
                <w:szCs w:val="24"/>
                <w:lang w:val="en-GB"/>
              </w:rPr>
            </w:pPr>
          </w:p>
        </w:tc>
        <w:tc>
          <w:tcPr>
            <w:tcW w:w="701" w:type="pct"/>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EC0C8D8" w14:textId="77777777" w:rsidR="00105E59" w:rsidRPr="0029408A" w:rsidRDefault="00105E59" w:rsidP="00105E59">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reporting month</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4E5D4D8" w14:textId="77777777" w:rsidR="00105E59" w:rsidRPr="0029408A" w:rsidRDefault="00105E59" w:rsidP="00105E59">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month preceding the reporting month</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0233C28" w14:textId="77777777" w:rsidR="00105E59" w:rsidRPr="0029408A" w:rsidRDefault="00105E59" w:rsidP="00105E59">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year preceding the reporting year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12C7B4A2" w14:textId="77777777" w:rsidR="00105E59" w:rsidRPr="0029408A" w:rsidRDefault="00105E59" w:rsidP="00105E59">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reporting month</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1269661F" w14:textId="77777777" w:rsidR="00105E59" w:rsidRPr="0029408A" w:rsidRDefault="00105E59" w:rsidP="00105E59">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month preceding the reporting month</w:t>
            </w:r>
          </w:p>
        </w:tc>
        <w:tc>
          <w:tcPr>
            <w:tcW w:w="701" w:type="pct"/>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07F80BC" w14:textId="77777777" w:rsidR="00105E59" w:rsidRPr="0029408A" w:rsidRDefault="00105E59" w:rsidP="00105E59">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year preceding the reporting year</w:t>
            </w:r>
          </w:p>
        </w:tc>
      </w:tr>
      <w:tr w:rsidR="00D07D44" w:rsidRPr="0029408A" w14:paraId="1F424192" w14:textId="77777777" w:rsidTr="00D07D44">
        <w:trPr>
          <w:jc w:val="center"/>
        </w:trPr>
        <w:tc>
          <w:tcPr>
            <w:tcW w:w="795" w:type="pct"/>
            <w:vMerge/>
            <w:tcBorders>
              <w:top w:val="single" w:sz="6" w:space="0" w:color="000000"/>
              <w:left w:val="single" w:sz="6" w:space="0" w:color="000000"/>
              <w:bottom w:val="single" w:sz="6" w:space="0" w:color="000000"/>
              <w:right w:val="single" w:sz="6" w:space="0" w:color="000000"/>
            </w:tcBorders>
            <w:vAlign w:val="center"/>
            <w:hideMark/>
          </w:tcPr>
          <w:p w14:paraId="0A2A4868" w14:textId="77777777" w:rsidR="004E6D8A" w:rsidRPr="0029408A" w:rsidRDefault="004E6D8A" w:rsidP="004E6D8A">
            <w:pPr>
              <w:spacing w:after="0" w:line="240" w:lineRule="auto"/>
              <w:rPr>
                <w:rFonts w:ascii="Times New Roman" w:eastAsia="Times New Roman" w:hAnsi="Times New Roman"/>
                <w:b/>
                <w:bCs/>
                <w:color w:val="000000"/>
                <w:sz w:val="24"/>
                <w:szCs w:val="24"/>
                <w:lang w:val="en-GB"/>
              </w:rPr>
            </w:pPr>
          </w:p>
        </w:tc>
        <w:tc>
          <w:tcPr>
            <w:tcW w:w="346" w:type="pc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13287B86" w14:textId="77777777" w:rsidR="004E6D8A" w:rsidRPr="0029408A" w:rsidRDefault="00BC6B06"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accepted in MDL</w:t>
            </w:r>
          </w:p>
        </w:tc>
        <w:tc>
          <w:tcPr>
            <w:tcW w:w="355" w:type="pc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131790EF" w14:textId="77777777" w:rsidR="004E6D8A" w:rsidRPr="0029408A" w:rsidRDefault="00BC6B06"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accepted in foreign currency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A1FDEB8" w14:textId="77777777" w:rsidR="004E6D8A" w:rsidRPr="0029408A" w:rsidRDefault="00BC6B06"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accepted in MDL</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3AFEDAC" w14:textId="77777777" w:rsidR="004E6D8A" w:rsidRPr="0029408A" w:rsidRDefault="00BC6B06"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accepted in foreign currency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F3D9523" w14:textId="77777777" w:rsidR="004E6D8A" w:rsidRPr="0029408A" w:rsidRDefault="00BC6B06"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accepted in MDL</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88F154A" w14:textId="77777777" w:rsidR="004E6D8A" w:rsidRPr="0029408A" w:rsidRDefault="00BC6B06"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accepted in foreign currency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4308CDA" w14:textId="77777777" w:rsidR="004E6D8A" w:rsidRPr="0029408A" w:rsidRDefault="00BC6B06"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accepted in MDL</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5986049" w14:textId="77777777" w:rsidR="004E6D8A" w:rsidRPr="0029408A" w:rsidRDefault="00BC6B06"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accepted in foreign currency</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1B2A93D" w14:textId="77777777" w:rsidR="004E6D8A" w:rsidRPr="0029408A" w:rsidRDefault="00BC6B06"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accepted in MDL</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E133F09" w14:textId="77777777" w:rsidR="004E6D8A" w:rsidRPr="0029408A" w:rsidRDefault="00BC6B06"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accepted in foreign currency</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36606C1" w14:textId="77777777" w:rsidR="004E6D8A" w:rsidRPr="0029408A" w:rsidRDefault="00BC6B06"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accepted in MDL</w:t>
            </w:r>
          </w:p>
        </w:tc>
        <w:tc>
          <w:tcPr>
            <w:tcW w:w="355" w:type="pc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C1DD35B" w14:textId="77777777" w:rsidR="004E6D8A" w:rsidRPr="0029408A" w:rsidRDefault="00BC6B06"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accepted in foreign currency</w:t>
            </w:r>
          </w:p>
        </w:tc>
      </w:tr>
      <w:tr w:rsidR="00D07D44" w:rsidRPr="0029408A" w14:paraId="53CF0D7E" w14:textId="77777777" w:rsidTr="00D07D44">
        <w:trPr>
          <w:jc w:val="center"/>
        </w:trPr>
        <w:tc>
          <w:tcPr>
            <w:tcW w:w="7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A4D17" w14:textId="77777777" w:rsidR="004E6D8A" w:rsidRPr="0029408A" w:rsidRDefault="00BC6B06"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Non-</w:t>
            </w:r>
            <w:proofErr w:type="gramStart"/>
            <w:r w:rsidRPr="0029408A">
              <w:rPr>
                <w:rFonts w:ascii="Times New Roman" w:eastAsia="Times New Roman" w:hAnsi="Times New Roman"/>
                <w:b/>
                <w:bCs/>
                <w:color w:val="000000"/>
                <w:sz w:val="24"/>
                <w:szCs w:val="24"/>
                <w:lang w:val="en-GB"/>
              </w:rPr>
              <w:t>interest bearing</w:t>
            </w:r>
            <w:proofErr w:type="gramEnd"/>
            <w:r w:rsidRPr="0029408A">
              <w:rPr>
                <w:rFonts w:ascii="Times New Roman" w:eastAsia="Times New Roman" w:hAnsi="Times New Roman"/>
                <w:b/>
                <w:bCs/>
                <w:color w:val="000000"/>
                <w:sz w:val="24"/>
                <w:szCs w:val="24"/>
                <w:lang w:val="en-GB"/>
              </w:rPr>
              <w:t xml:space="preserve"> sight deposits:</w:t>
            </w:r>
          </w:p>
        </w:tc>
        <w:tc>
          <w:tcPr>
            <w:tcW w:w="3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C370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8194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E9DC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86F4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0E9C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556F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68CF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99E0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0D11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1D86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72C0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FD44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D07D44" w:rsidRPr="0029408A" w14:paraId="6C063B43" w14:textId="77777777" w:rsidTr="00D07D44">
        <w:trPr>
          <w:jc w:val="center"/>
        </w:trPr>
        <w:tc>
          <w:tcPr>
            <w:tcW w:w="7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57DFA" w14:textId="77777777" w:rsidR="004E6D8A" w:rsidRPr="0029408A" w:rsidRDefault="00F667CB"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deposits of individuals</w:t>
            </w:r>
          </w:p>
        </w:tc>
        <w:tc>
          <w:tcPr>
            <w:tcW w:w="3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ECC8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9B97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D540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CD70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0E1A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DCEE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6A0A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EC7E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754C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B9BF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C79B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5AFC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D07D44" w:rsidRPr="0029408A" w14:paraId="414F41FF" w14:textId="77777777" w:rsidTr="00D07D44">
        <w:trPr>
          <w:jc w:val="center"/>
        </w:trPr>
        <w:tc>
          <w:tcPr>
            <w:tcW w:w="7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C79D8" w14:textId="77777777" w:rsidR="004E6D8A" w:rsidRPr="0029408A" w:rsidRDefault="00F667CB"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deposits of legal entities *, of which:</w:t>
            </w:r>
          </w:p>
        </w:tc>
        <w:tc>
          <w:tcPr>
            <w:tcW w:w="3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B1AB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D217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8DE0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A23D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E71A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C1A6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E5E8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D2AD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19D7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21DB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AE69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E466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D07D44" w:rsidRPr="0029408A" w14:paraId="140C94B2" w14:textId="77777777" w:rsidTr="00D07D44">
        <w:trPr>
          <w:jc w:val="center"/>
        </w:trPr>
        <w:tc>
          <w:tcPr>
            <w:tcW w:w="7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39B0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 </w:t>
            </w:r>
            <w:r w:rsidR="00913598" w:rsidRPr="0029408A">
              <w:rPr>
                <w:rFonts w:ascii="Times New Roman" w:eastAsia="Times New Roman" w:hAnsi="Times New Roman"/>
                <w:color w:val="000000"/>
                <w:sz w:val="24"/>
                <w:szCs w:val="24"/>
                <w:lang w:val="en-GB"/>
              </w:rPr>
              <w:t>bank deposits</w:t>
            </w:r>
          </w:p>
        </w:tc>
        <w:tc>
          <w:tcPr>
            <w:tcW w:w="3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FD2C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7128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FDD1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2108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0DBF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3732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5E35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EFBE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1FC4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8B85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5AFE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B501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D07D44" w:rsidRPr="0029408A" w14:paraId="68AC852F" w14:textId="77777777" w:rsidTr="00D07D44">
        <w:trPr>
          <w:jc w:val="center"/>
        </w:trPr>
        <w:tc>
          <w:tcPr>
            <w:tcW w:w="7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11A66" w14:textId="77777777" w:rsidR="004E6D8A" w:rsidRPr="0029408A" w:rsidRDefault="00CE75A1"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Interest-</w:t>
            </w:r>
            <w:r w:rsidR="00984852" w:rsidRPr="0029408A">
              <w:rPr>
                <w:rFonts w:ascii="Times New Roman" w:eastAsia="Times New Roman" w:hAnsi="Times New Roman"/>
                <w:b/>
                <w:bCs/>
                <w:color w:val="000000"/>
                <w:sz w:val="24"/>
                <w:szCs w:val="24"/>
                <w:lang w:val="en-GB"/>
              </w:rPr>
              <w:t>bearing sight deposits</w:t>
            </w:r>
            <w:r w:rsidR="004E6D8A" w:rsidRPr="0029408A">
              <w:rPr>
                <w:rFonts w:ascii="Times New Roman" w:eastAsia="Times New Roman" w:hAnsi="Times New Roman"/>
                <w:b/>
                <w:bCs/>
                <w:color w:val="000000"/>
                <w:sz w:val="24"/>
                <w:szCs w:val="24"/>
                <w:lang w:val="en-GB"/>
              </w:rPr>
              <w:t>:</w:t>
            </w:r>
          </w:p>
        </w:tc>
        <w:tc>
          <w:tcPr>
            <w:tcW w:w="3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E9B9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2BB5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A55F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FEE1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EE07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73BA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9705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82D7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6443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2EA9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E4DB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83B6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D07D44" w:rsidRPr="0029408A" w14:paraId="5A6C44F1" w14:textId="77777777" w:rsidTr="00D07D44">
        <w:trPr>
          <w:jc w:val="center"/>
        </w:trPr>
        <w:tc>
          <w:tcPr>
            <w:tcW w:w="7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E4BF1" w14:textId="77777777" w:rsidR="004E6D8A" w:rsidRPr="0029408A" w:rsidRDefault="006D353C"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deposits of individuals</w:t>
            </w:r>
          </w:p>
        </w:tc>
        <w:tc>
          <w:tcPr>
            <w:tcW w:w="3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43DA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E3F7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534C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6CF3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88D2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B198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E66F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2052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C6BC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F9D7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9A95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23BC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D07D44" w:rsidRPr="0029408A" w14:paraId="24230B20" w14:textId="77777777" w:rsidTr="00D07D44">
        <w:trPr>
          <w:jc w:val="center"/>
        </w:trPr>
        <w:tc>
          <w:tcPr>
            <w:tcW w:w="7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DB0DD" w14:textId="77777777" w:rsidR="004E6D8A" w:rsidRPr="0029408A" w:rsidRDefault="006D353C"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lastRenderedPageBreak/>
              <w:t>deposits of legal entities *, of which:</w:t>
            </w:r>
          </w:p>
        </w:tc>
        <w:tc>
          <w:tcPr>
            <w:tcW w:w="3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6C38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9246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6935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FE14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224C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8D04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B67F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1758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7B33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2E44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D351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B7CE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D07D44" w:rsidRPr="0029408A" w14:paraId="3D0F3F7A" w14:textId="77777777" w:rsidTr="00D07D44">
        <w:trPr>
          <w:jc w:val="center"/>
        </w:trPr>
        <w:tc>
          <w:tcPr>
            <w:tcW w:w="7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E8B5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 </w:t>
            </w:r>
            <w:r w:rsidR="00CE75A1" w:rsidRPr="0029408A">
              <w:rPr>
                <w:rFonts w:ascii="Times New Roman" w:eastAsia="Times New Roman" w:hAnsi="Times New Roman"/>
                <w:color w:val="000000"/>
                <w:sz w:val="24"/>
                <w:szCs w:val="24"/>
                <w:lang w:val="en-GB"/>
              </w:rPr>
              <w:t>bank deposits</w:t>
            </w:r>
          </w:p>
        </w:tc>
        <w:tc>
          <w:tcPr>
            <w:tcW w:w="3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5463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3F80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E55F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3E9F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4C79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A7BB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8353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DE80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C249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4E54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DFED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62A3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D07D44" w:rsidRPr="0029408A" w14:paraId="4230E755" w14:textId="77777777" w:rsidTr="00D07D44">
        <w:trPr>
          <w:jc w:val="center"/>
        </w:trPr>
        <w:tc>
          <w:tcPr>
            <w:tcW w:w="7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2F295" w14:textId="77777777" w:rsidR="004E6D8A" w:rsidRPr="0029408A" w:rsidRDefault="00A96DBB" w:rsidP="00A96DBB">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Non-</w:t>
            </w:r>
            <w:proofErr w:type="gramStart"/>
            <w:r w:rsidRPr="0029408A">
              <w:rPr>
                <w:rFonts w:ascii="Times New Roman" w:eastAsia="Times New Roman" w:hAnsi="Times New Roman"/>
                <w:b/>
                <w:bCs/>
                <w:color w:val="000000"/>
                <w:sz w:val="24"/>
                <w:szCs w:val="24"/>
                <w:lang w:val="en-GB"/>
              </w:rPr>
              <w:t>interest bearing</w:t>
            </w:r>
            <w:proofErr w:type="gramEnd"/>
            <w:r w:rsidRPr="0029408A">
              <w:rPr>
                <w:rFonts w:ascii="Times New Roman" w:eastAsia="Times New Roman" w:hAnsi="Times New Roman"/>
                <w:b/>
                <w:bCs/>
                <w:color w:val="000000"/>
                <w:sz w:val="24"/>
                <w:szCs w:val="24"/>
                <w:lang w:val="en-GB"/>
              </w:rPr>
              <w:t xml:space="preserve"> time deposits:</w:t>
            </w:r>
          </w:p>
        </w:tc>
        <w:tc>
          <w:tcPr>
            <w:tcW w:w="3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0E7A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34A2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1AB1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E60A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F073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592D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E25B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A4D8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DF32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65D0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C06B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BBD7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D07D44" w:rsidRPr="0029408A" w14:paraId="033E6892" w14:textId="77777777" w:rsidTr="00D07D44">
        <w:trPr>
          <w:jc w:val="center"/>
        </w:trPr>
        <w:tc>
          <w:tcPr>
            <w:tcW w:w="7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784F0" w14:textId="77777777" w:rsidR="004E6D8A" w:rsidRPr="0029408A" w:rsidRDefault="00A96DBB"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deposits of individuals</w:t>
            </w:r>
          </w:p>
        </w:tc>
        <w:tc>
          <w:tcPr>
            <w:tcW w:w="3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3DBF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A07A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3FCE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A6AD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2493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EE3C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3F56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A09D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786D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DDAB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CD08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7FB3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D07D44" w:rsidRPr="0029408A" w14:paraId="68F0E4E3" w14:textId="77777777" w:rsidTr="00D07D44">
        <w:trPr>
          <w:jc w:val="center"/>
        </w:trPr>
        <w:tc>
          <w:tcPr>
            <w:tcW w:w="7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E63DC" w14:textId="77777777" w:rsidR="004E6D8A" w:rsidRPr="0029408A" w:rsidRDefault="00A96DBB"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deposits of legal entities *, of which:</w:t>
            </w:r>
          </w:p>
        </w:tc>
        <w:tc>
          <w:tcPr>
            <w:tcW w:w="3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9B8F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944C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0FA5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07FD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6648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C849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64E2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0C65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6F7B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8F83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7820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3AF1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D07D44" w:rsidRPr="0029408A" w14:paraId="00B302FB" w14:textId="77777777" w:rsidTr="00D07D44">
        <w:trPr>
          <w:jc w:val="center"/>
        </w:trPr>
        <w:tc>
          <w:tcPr>
            <w:tcW w:w="7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9C90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 </w:t>
            </w:r>
            <w:r w:rsidR="00A96DBB" w:rsidRPr="0029408A">
              <w:rPr>
                <w:rFonts w:ascii="Times New Roman" w:eastAsia="Times New Roman" w:hAnsi="Times New Roman"/>
                <w:color w:val="000000"/>
                <w:sz w:val="24"/>
                <w:szCs w:val="24"/>
                <w:lang w:val="en-GB"/>
              </w:rPr>
              <w:t>bank deposits</w:t>
            </w:r>
          </w:p>
        </w:tc>
        <w:tc>
          <w:tcPr>
            <w:tcW w:w="3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124D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E771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A746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1951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0D01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B180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5CE7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F543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FCFA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D05B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0259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F57A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D07D44" w:rsidRPr="0029408A" w14:paraId="3B84658E" w14:textId="77777777" w:rsidTr="00D07D44">
        <w:trPr>
          <w:jc w:val="center"/>
        </w:trPr>
        <w:tc>
          <w:tcPr>
            <w:tcW w:w="7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61213" w14:textId="77777777" w:rsidR="004E6D8A" w:rsidRPr="0029408A" w:rsidRDefault="00EC389F"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Interest-bearing time deposits:</w:t>
            </w:r>
          </w:p>
        </w:tc>
        <w:tc>
          <w:tcPr>
            <w:tcW w:w="3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05A4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3AF5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B08E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2686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C1E5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5EC0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C369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5F56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32D2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823B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FB2B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82B5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D07D44" w:rsidRPr="0029408A" w14:paraId="27CD06A3" w14:textId="77777777" w:rsidTr="00D07D44">
        <w:trPr>
          <w:jc w:val="center"/>
        </w:trPr>
        <w:tc>
          <w:tcPr>
            <w:tcW w:w="7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8C77C" w14:textId="77777777" w:rsidR="004E6D8A" w:rsidRPr="0029408A" w:rsidRDefault="00EC389F"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deposits of individuals</w:t>
            </w:r>
          </w:p>
        </w:tc>
        <w:tc>
          <w:tcPr>
            <w:tcW w:w="3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9C42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6D96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FC22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720D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2A79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38E5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8749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D1B7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4A6C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F4A2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CB1E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1CEF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D07D44" w:rsidRPr="0029408A" w14:paraId="0F597F30" w14:textId="77777777" w:rsidTr="00D07D44">
        <w:trPr>
          <w:jc w:val="center"/>
        </w:trPr>
        <w:tc>
          <w:tcPr>
            <w:tcW w:w="7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46431" w14:textId="77777777" w:rsidR="004E6D8A" w:rsidRPr="0029408A" w:rsidRDefault="00EC389F"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deposits of legal entities *, of which</w:t>
            </w:r>
            <w:r w:rsidR="004E6D8A" w:rsidRPr="0029408A">
              <w:rPr>
                <w:rFonts w:ascii="Times New Roman" w:eastAsia="Times New Roman" w:hAnsi="Times New Roman"/>
                <w:color w:val="000000"/>
                <w:sz w:val="24"/>
                <w:szCs w:val="24"/>
                <w:lang w:val="en-GB"/>
              </w:rPr>
              <w:t>:</w:t>
            </w:r>
          </w:p>
        </w:tc>
        <w:tc>
          <w:tcPr>
            <w:tcW w:w="3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4A8D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EB98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0D72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9A0F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21D3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7CB3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C60C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8F9D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6C27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F430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9FC7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7342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D07D44" w:rsidRPr="0029408A" w14:paraId="47FEEB8F" w14:textId="77777777" w:rsidTr="00D07D44">
        <w:trPr>
          <w:jc w:val="center"/>
        </w:trPr>
        <w:tc>
          <w:tcPr>
            <w:tcW w:w="7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109E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 </w:t>
            </w:r>
            <w:r w:rsidR="00EC389F" w:rsidRPr="0029408A">
              <w:rPr>
                <w:rFonts w:ascii="Times New Roman" w:eastAsia="Times New Roman" w:hAnsi="Times New Roman"/>
                <w:color w:val="000000"/>
                <w:sz w:val="24"/>
                <w:szCs w:val="24"/>
                <w:lang w:val="en-GB"/>
              </w:rPr>
              <w:t>bank deposits</w:t>
            </w:r>
          </w:p>
        </w:tc>
        <w:tc>
          <w:tcPr>
            <w:tcW w:w="3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715B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7ECE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876A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D57A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8CAA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2735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F4C7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60B4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AD77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9C18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35B0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8BBF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D07D44" w:rsidRPr="0029408A" w14:paraId="743B1D0C" w14:textId="77777777" w:rsidTr="00D07D44">
        <w:trPr>
          <w:jc w:val="center"/>
        </w:trPr>
        <w:tc>
          <w:tcPr>
            <w:tcW w:w="7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FB314" w14:textId="77777777" w:rsidR="004E6D8A" w:rsidRPr="0029408A" w:rsidRDefault="00D07D44"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Total deposits:</w:t>
            </w:r>
          </w:p>
        </w:tc>
        <w:tc>
          <w:tcPr>
            <w:tcW w:w="3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5CFD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3798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AAEC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0B82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492A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B8B4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BF95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A504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7B34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576B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7649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A5A6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D07D44" w:rsidRPr="0029408A" w14:paraId="7342DB38" w14:textId="77777777" w:rsidTr="00D07D44">
        <w:trPr>
          <w:jc w:val="center"/>
        </w:trPr>
        <w:tc>
          <w:tcPr>
            <w:tcW w:w="7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64A53"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deposits of individuals</w:t>
            </w:r>
          </w:p>
        </w:tc>
        <w:tc>
          <w:tcPr>
            <w:tcW w:w="3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E1A76"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9DF35"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4D2E4"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B381D"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48EB8"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40F0C"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20FE9"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91B3C"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6B27A"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9B874"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61493"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054D2"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r>
      <w:tr w:rsidR="00D07D44" w:rsidRPr="0029408A" w14:paraId="7A8B6D0F" w14:textId="77777777" w:rsidTr="00D07D44">
        <w:trPr>
          <w:jc w:val="center"/>
        </w:trPr>
        <w:tc>
          <w:tcPr>
            <w:tcW w:w="7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0F8DD"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deposits of legal entities *, of which:</w:t>
            </w:r>
          </w:p>
        </w:tc>
        <w:tc>
          <w:tcPr>
            <w:tcW w:w="3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82A7F"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33FC6"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26F84"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CD399"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E7AB7"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661B2"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ED1BE"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124F6"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3E162"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A5BA5"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AAA20"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D57BB"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r>
      <w:tr w:rsidR="00D07D44" w:rsidRPr="0029408A" w14:paraId="4E0245C5" w14:textId="77777777" w:rsidTr="00D07D44">
        <w:trPr>
          <w:jc w:val="center"/>
        </w:trPr>
        <w:tc>
          <w:tcPr>
            <w:tcW w:w="7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3C744"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bank deposits</w:t>
            </w:r>
          </w:p>
        </w:tc>
        <w:tc>
          <w:tcPr>
            <w:tcW w:w="3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06E6C"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8DC3B"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5A9B6"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C82A2"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C60B0"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5FFA1"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C8619"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15947"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ADDBA"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8CF75"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B9FC2"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CB0A9" w14:textId="77777777" w:rsidR="00D07D44" w:rsidRPr="0029408A" w:rsidRDefault="00D07D44" w:rsidP="00D07D44">
            <w:pPr>
              <w:spacing w:after="0" w:line="240" w:lineRule="auto"/>
              <w:rPr>
                <w:rFonts w:ascii="Times New Roman" w:eastAsia="Times New Roman" w:hAnsi="Times New Roman"/>
                <w:color w:val="000000"/>
                <w:sz w:val="24"/>
                <w:szCs w:val="24"/>
                <w:lang w:val="en-GB"/>
              </w:rPr>
            </w:pPr>
          </w:p>
        </w:tc>
      </w:tr>
      <w:tr w:rsidR="004E6D8A" w:rsidRPr="0029408A" w14:paraId="62EF2F57" w14:textId="77777777" w:rsidTr="00E7194B">
        <w:trPr>
          <w:jc w:val="center"/>
        </w:trPr>
        <w:tc>
          <w:tcPr>
            <w:tcW w:w="5000" w:type="pct"/>
            <w:gridSpan w:val="13"/>
            <w:tcBorders>
              <w:top w:val="nil"/>
              <w:left w:val="nil"/>
              <w:bottom w:val="nil"/>
              <w:right w:val="nil"/>
            </w:tcBorders>
            <w:tcMar>
              <w:top w:w="24" w:type="dxa"/>
              <w:left w:w="48" w:type="dxa"/>
              <w:bottom w:w="24" w:type="dxa"/>
              <w:right w:w="48" w:type="dxa"/>
            </w:tcMar>
            <w:hideMark/>
          </w:tcPr>
          <w:p w14:paraId="483B728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  </w:t>
            </w:r>
          </w:p>
          <w:p w14:paraId="2BA493D5" w14:textId="77777777" w:rsidR="004E6D8A" w:rsidRPr="0029408A" w:rsidRDefault="00E6583F"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 xml:space="preserve">NOTE: </w:t>
            </w:r>
            <w:r w:rsidRPr="0029408A">
              <w:rPr>
                <w:rFonts w:ascii="Times New Roman" w:eastAsia="Times New Roman" w:hAnsi="Times New Roman"/>
                <w:bCs/>
                <w:color w:val="000000"/>
                <w:sz w:val="24"/>
                <w:szCs w:val="24"/>
                <w:lang w:val="en-GB"/>
              </w:rPr>
              <w:t>The information is published in accordance with the provisions of the Regulation on the requirements for publication of information by banks.</w:t>
            </w:r>
          </w:p>
          <w:p w14:paraId="63C82B77"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p w14:paraId="11387350" w14:textId="77777777" w:rsidR="004E6D8A" w:rsidRPr="0029408A" w:rsidRDefault="00DF2A9F"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This category also includes deposits of the budget of the Republic of Moldova and local budgets, banks, non-banking financial companies and other individuals engaged in entrepreneurial activity or other activity, etc.</w:t>
            </w:r>
          </w:p>
          <w:p w14:paraId="3DAC79F0" w14:textId="77777777" w:rsidR="004E6D8A" w:rsidRPr="0029408A" w:rsidRDefault="00420B37"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the amounts of foreign currency deposits are recalculated at the official exchange rate of the Moldovan leu valid on the reporting date.</w:t>
            </w:r>
          </w:p>
          <w:p w14:paraId="1CCEB6AB" w14:textId="77777777" w:rsidR="004E6D8A" w:rsidRPr="0029408A" w:rsidRDefault="00420B37"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lastRenderedPageBreak/>
              <w:t>*** shall be calculated according to point 4 of the Instruction no. 331/2016.</w:t>
            </w:r>
          </w:p>
          <w:p w14:paraId="414286BA"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p w14:paraId="303767C9" w14:textId="77777777" w:rsidR="004E6D8A" w:rsidRPr="0029408A" w:rsidRDefault="00420B37"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Signature:</w:t>
            </w:r>
          </w:p>
          <w:p w14:paraId="5895582B" w14:textId="77777777" w:rsidR="004E6D8A" w:rsidRPr="0029408A" w:rsidRDefault="00420B37"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hAnsi="Times New Roman"/>
                <w:b/>
                <w:bCs/>
                <w:color w:val="000000"/>
                <w:sz w:val="24"/>
                <w:lang w:val="en-GB"/>
              </w:rPr>
              <w:t xml:space="preserve">Head of the bank's </w:t>
            </w:r>
            <w:r w:rsidR="00371EF8" w:rsidRPr="0029408A">
              <w:rPr>
                <w:rFonts w:ascii="Times New Roman" w:hAnsi="Times New Roman"/>
                <w:b/>
                <w:bCs/>
                <w:color w:val="000000"/>
                <w:sz w:val="24"/>
                <w:lang w:val="en-GB"/>
              </w:rPr>
              <w:t>executive body</w:t>
            </w:r>
            <w:r w:rsidR="004E6D8A" w:rsidRPr="0029408A">
              <w:rPr>
                <w:rFonts w:ascii="Times New Roman" w:eastAsia="Times New Roman" w:hAnsi="Times New Roman"/>
                <w:color w:val="000000"/>
                <w:sz w:val="24"/>
                <w:szCs w:val="24"/>
                <w:lang w:val="en-GB"/>
              </w:rPr>
              <w:t xml:space="preserve"> ________________________      </w:t>
            </w:r>
          </w:p>
          <w:p w14:paraId="746454C4"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r w:rsidR="00420B37" w:rsidRPr="0029408A">
              <w:rPr>
                <w:rFonts w:ascii="Times New Roman" w:hAnsi="Times New Roman"/>
                <w:color w:val="000000"/>
                <w:sz w:val="20"/>
                <w:lang w:val="en-GB"/>
              </w:rPr>
              <w:t>name, surname, position</w:t>
            </w:r>
            <w:r w:rsidRPr="0029408A">
              <w:rPr>
                <w:rFonts w:ascii="Times New Roman" w:eastAsia="Times New Roman" w:hAnsi="Times New Roman"/>
                <w:color w:val="000000"/>
                <w:sz w:val="24"/>
                <w:szCs w:val="24"/>
                <w:lang w:val="en-GB"/>
              </w:rPr>
              <w:t>)</w:t>
            </w:r>
          </w:p>
          <w:p w14:paraId="4814D9AA"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8"/>
                <w:szCs w:val="24"/>
                <w:lang w:val="en-GB"/>
              </w:rPr>
              <w:t> </w:t>
            </w:r>
            <w:r w:rsidR="00420B37" w:rsidRPr="0029408A">
              <w:rPr>
                <w:rFonts w:ascii="Times New Roman" w:hAnsi="Times New Roman"/>
                <w:b/>
                <w:bCs/>
                <w:color w:val="000000"/>
                <w:sz w:val="24"/>
                <w:lang w:val="en-GB"/>
              </w:rPr>
              <w:t>Date of preparation</w:t>
            </w:r>
            <w:r w:rsidR="00420B37" w:rsidRPr="0029408A">
              <w:rPr>
                <w:rFonts w:ascii="Times New Roman" w:eastAsia="Times New Roman" w:hAnsi="Times New Roman"/>
                <w:b/>
                <w:bCs/>
                <w:color w:val="000000"/>
                <w:sz w:val="24"/>
                <w:szCs w:val="24"/>
                <w:lang w:val="en-GB"/>
              </w:rPr>
              <w:t xml:space="preserve"> </w:t>
            </w:r>
            <w:r w:rsidRPr="0029408A">
              <w:rPr>
                <w:rFonts w:ascii="Times New Roman" w:eastAsia="Times New Roman" w:hAnsi="Times New Roman"/>
                <w:color w:val="000000"/>
                <w:sz w:val="24"/>
                <w:szCs w:val="24"/>
                <w:lang w:val="en-GB"/>
              </w:rPr>
              <w:t>“___” __________________.</w:t>
            </w:r>
          </w:p>
        </w:tc>
      </w:tr>
    </w:tbl>
    <w:p w14:paraId="0CF7FB9E" w14:textId="77777777" w:rsidR="003D019F" w:rsidRPr="0029408A" w:rsidRDefault="003D019F" w:rsidP="004E6D8A">
      <w:pPr>
        <w:spacing w:after="0" w:line="240" w:lineRule="auto"/>
        <w:ind w:firstLine="567"/>
        <w:jc w:val="both"/>
        <w:rPr>
          <w:rFonts w:ascii="Times New Roman" w:eastAsia="Times New Roman" w:hAnsi="Times New Roman"/>
          <w:color w:val="000000"/>
          <w:sz w:val="24"/>
          <w:szCs w:val="24"/>
          <w:lang w:val="en-GB"/>
        </w:rPr>
      </w:pPr>
    </w:p>
    <w:p w14:paraId="207C9C2A" w14:textId="77777777" w:rsidR="003D019F" w:rsidRPr="0029408A" w:rsidRDefault="003D019F" w:rsidP="00420B37">
      <w:pP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br w:type="page"/>
      </w:r>
    </w:p>
    <w:p w14:paraId="677FC0D6"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p>
    <w:tbl>
      <w:tblPr>
        <w:tblW w:w="4700" w:type="pct"/>
        <w:jc w:val="center"/>
        <w:tblCellMar>
          <w:top w:w="15" w:type="dxa"/>
          <w:left w:w="15" w:type="dxa"/>
          <w:bottom w:w="15" w:type="dxa"/>
          <w:right w:w="15" w:type="dxa"/>
        </w:tblCellMar>
        <w:tblLook w:val="04A0" w:firstRow="1" w:lastRow="0" w:firstColumn="1" w:lastColumn="0" w:noHBand="0" w:noVBand="1"/>
      </w:tblPr>
      <w:tblGrid>
        <w:gridCol w:w="8269"/>
        <w:gridCol w:w="1231"/>
        <w:gridCol w:w="831"/>
        <w:gridCol w:w="412"/>
        <w:gridCol w:w="338"/>
        <w:gridCol w:w="637"/>
        <w:gridCol w:w="351"/>
        <w:gridCol w:w="338"/>
        <w:gridCol w:w="351"/>
      </w:tblGrid>
      <w:tr w:rsidR="000F2B3E" w:rsidRPr="0029408A" w14:paraId="38F83130" w14:textId="77777777" w:rsidTr="00B46D01">
        <w:trPr>
          <w:jc w:val="center"/>
        </w:trPr>
        <w:tc>
          <w:tcPr>
            <w:tcW w:w="4998" w:type="pct"/>
            <w:gridSpan w:val="9"/>
            <w:tcBorders>
              <w:top w:val="nil"/>
              <w:left w:val="nil"/>
              <w:bottom w:val="single" w:sz="6" w:space="0" w:color="000000"/>
              <w:right w:val="nil"/>
            </w:tcBorders>
            <w:tcMar>
              <w:top w:w="24" w:type="dxa"/>
              <w:left w:w="48" w:type="dxa"/>
              <w:bottom w:w="24" w:type="dxa"/>
              <w:right w:w="48" w:type="dxa"/>
            </w:tcMar>
            <w:hideMark/>
          </w:tcPr>
          <w:p w14:paraId="2B15B9D2" w14:textId="77777777" w:rsidR="00420B37" w:rsidRPr="0029408A" w:rsidRDefault="00420B37" w:rsidP="00420B37">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Annex No. 4 </w:t>
            </w:r>
          </w:p>
          <w:p w14:paraId="7B866C3A" w14:textId="77777777" w:rsidR="00092DBE" w:rsidRPr="0029408A" w:rsidRDefault="00420B37" w:rsidP="00420B37">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to the </w:t>
            </w:r>
            <w:r w:rsidRPr="0029408A">
              <w:rPr>
                <w:rFonts w:ascii="Times New Roman" w:eastAsia="Times New Roman" w:hAnsi="Times New Roman"/>
                <w:bCs/>
                <w:color w:val="000000"/>
                <w:sz w:val="24"/>
                <w:szCs w:val="24"/>
                <w:lang w:val="en-GB"/>
              </w:rPr>
              <w:t>Regulation on the requirements for publication</w:t>
            </w:r>
          </w:p>
          <w:p w14:paraId="6EF2DD16" w14:textId="77777777" w:rsidR="003D019F" w:rsidRPr="0029408A" w:rsidRDefault="00420B37" w:rsidP="007E195C">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bCs/>
                <w:color w:val="000000"/>
                <w:sz w:val="24"/>
                <w:szCs w:val="24"/>
                <w:lang w:val="en-GB"/>
              </w:rPr>
              <w:t>of information by banks</w:t>
            </w:r>
            <w:r w:rsidR="00FF5300" w:rsidRPr="0029408A">
              <w:rPr>
                <w:rFonts w:ascii="Times New Roman" w:eastAsia="Times New Roman" w:hAnsi="Times New Roman"/>
                <w:color w:val="000000"/>
                <w:sz w:val="24"/>
                <w:szCs w:val="24"/>
                <w:lang w:val="en-GB" w:eastAsia="ru-RU"/>
              </w:rPr>
              <w:t xml:space="preserve"> </w:t>
            </w:r>
          </w:p>
          <w:p w14:paraId="7618841C"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p w14:paraId="25910E66" w14:textId="77777777" w:rsidR="0040493B" w:rsidRPr="0029408A" w:rsidRDefault="0040493B"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 xml:space="preserve">Information </w:t>
            </w:r>
          </w:p>
          <w:p w14:paraId="48E22C01" w14:textId="77777777" w:rsidR="0040493B" w:rsidRPr="0029408A" w:rsidRDefault="0040493B"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 xml:space="preserve">on the conditions of acceptance of deposits * </w:t>
            </w:r>
          </w:p>
          <w:p w14:paraId="27BF111C" w14:textId="77777777" w:rsidR="004E6D8A" w:rsidRPr="0029408A" w:rsidRDefault="0040493B" w:rsidP="004E6D8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by</w:t>
            </w:r>
            <w:r w:rsidR="004E6D8A" w:rsidRPr="0029408A">
              <w:rPr>
                <w:rFonts w:ascii="Times New Roman" w:eastAsia="Times New Roman" w:hAnsi="Times New Roman"/>
                <w:color w:val="000000"/>
                <w:sz w:val="24"/>
                <w:szCs w:val="24"/>
                <w:lang w:val="en-GB"/>
              </w:rPr>
              <w:t xml:space="preserve"> ________________________________</w:t>
            </w:r>
          </w:p>
          <w:p w14:paraId="6800247A"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w:t>
            </w:r>
            <w:r w:rsidR="002A7EFD" w:rsidRPr="0029408A">
              <w:rPr>
                <w:rFonts w:ascii="Times New Roman" w:eastAsia="Times New Roman" w:hAnsi="Times New Roman"/>
                <w:color w:val="000000"/>
                <w:sz w:val="24"/>
                <w:szCs w:val="24"/>
                <w:lang w:val="en-GB"/>
              </w:rPr>
              <w:t>the name of the bank</w:t>
            </w:r>
            <w:r w:rsidRPr="0029408A">
              <w:rPr>
                <w:rFonts w:ascii="Times New Roman" w:eastAsia="Times New Roman" w:hAnsi="Times New Roman"/>
                <w:color w:val="000000"/>
                <w:sz w:val="24"/>
                <w:szCs w:val="24"/>
                <w:lang w:val="en-GB"/>
              </w:rPr>
              <w:t>)</w:t>
            </w:r>
          </w:p>
          <w:p w14:paraId="68845D32"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tc>
      </w:tr>
      <w:tr w:rsidR="000F2B3E" w:rsidRPr="0029408A" w14:paraId="5505546B" w14:textId="77777777" w:rsidTr="00B46D01">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2483D91A" w14:textId="77777777" w:rsidR="004E6D8A" w:rsidRPr="0029408A" w:rsidRDefault="002A7EFD" w:rsidP="00E7194B">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Name of published information</w:t>
            </w:r>
          </w:p>
        </w:tc>
        <w:tc>
          <w:tcPr>
            <w:tcW w:w="1612" w:type="pct"/>
            <w:gridSpan w:val="8"/>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2C8C0A" w14:textId="77777777" w:rsidR="004E6D8A" w:rsidRPr="0029408A" w:rsidRDefault="002A7EFD"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Types of deposits accepted</w:t>
            </w:r>
          </w:p>
        </w:tc>
      </w:tr>
      <w:tr w:rsidR="000F2B3E" w:rsidRPr="0029408A" w14:paraId="173418E2" w14:textId="77777777" w:rsidTr="00B46D0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845F38" w14:textId="77777777" w:rsidR="004E6D8A" w:rsidRPr="0029408A" w:rsidRDefault="004E6D8A" w:rsidP="004E6D8A">
            <w:pPr>
              <w:spacing w:after="0" w:line="240" w:lineRule="auto"/>
              <w:rPr>
                <w:rFonts w:ascii="Times New Roman" w:eastAsia="Times New Roman" w:hAnsi="Times New Roman"/>
                <w:b/>
                <w:bCs/>
                <w:color w:val="000000"/>
                <w:sz w:val="24"/>
                <w:szCs w:val="24"/>
                <w:lang w:val="en-GB"/>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945B2B9" w14:textId="77777777" w:rsidR="004E6D8A" w:rsidRPr="0029408A" w:rsidRDefault="002A7EFD"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sight deposits</w:t>
            </w:r>
          </w:p>
        </w:tc>
        <w:tc>
          <w:tcPr>
            <w:tcW w:w="815" w:type="pct"/>
            <w:gridSpan w:val="6"/>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E632B5" w14:textId="77777777" w:rsidR="004E6D8A" w:rsidRPr="0029408A" w:rsidRDefault="002A7EFD"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time deposits</w:t>
            </w:r>
          </w:p>
        </w:tc>
      </w:tr>
      <w:tr w:rsidR="000F2B3E" w:rsidRPr="0029408A" w14:paraId="187D15E5" w14:textId="77777777" w:rsidTr="00B46D0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AB4262" w14:textId="77777777" w:rsidR="004E6D8A" w:rsidRPr="0029408A" w:rsidRDefault="004E6D8A" w:rsidP="004E6D8A">
            <w:pPr>
              <w:spacing w:after="0" w:line="240" w:lineRule="auto"/>
              <w:rPr>
                <w:rFonts w:ascii="Times New Roman" w:eastAsia="Times New Roman" w:hAnsi="Times New Roman"/>
                <w:b/>
                <w:bCs/>
                <w:color w:val="000000"/>
                <w:sz w:val="24"/>
                <w:szCs w:val="24"/>
                <w:lang w:val="en-GB"/>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1E90D9" w14:textId="77777777" w:rsidR="004E6D8A" w:rsidRPr="0029408A" w:rsidRDefault="002A7EFD"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individuals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A7E093" w14:textId="77777777" w:rsidR="004E6D8A" w:rsidRPr="0029408A" w:rsidRDefault="002A7EFD"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legal entities</w:t>
            </w:r>
          </w:p>
        </w:tc>
        <w:tc>
          <w:tcPr>
            <w:tcW w:w="484" w:type="pct"/>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5F3819" w14:textId="77777777" w:rsidR="004E6D8A" w:rsidRPr="0029408A" w:rsidRDefault="002A7EFD"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individuals</w:t>
            </w:r>
          </w:p>
        </w:tc>
        <w:tc>
          <w:tcPr>
            <w:tcW w:w="332" w:type="pct"/>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AF808F8" w14:textId="77777777" w:rsidR="004E6D8A" w:rsidRPr="0029408A" w:rsidRDefault="002A7EFD"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legal entities</w:t>
            </w:r>
          </w:p>
        </w:tc>
      </w:tr>
      <w:tr w:rsidR="000F2B3E" w:rsidRPr="0029408A" w14:paraId="4EEA6CC7" w14:textId="77777777" w:rsidTr="00B46D0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BDB927" w14:textId="77777777" w:rsidR="004E6D8A" w:rsidRPr="0029408A" w:rsidRDefault="004E6D8A" w:rsidP="004E6D8A">
            <w:pPr>
              <w:spacing w:after="0" w:line="240" w:lineRule="auto"/>
              <w:rPr>
                <w:rFonts w:ascii="Times New Roman" w:eastAsia="Times New Roman" w:hAnsi="Times New Roman"/>
                <w:b/>
                <w:bCs/>
                <w:color w:val="000000"/>
                <w:sz w:val="24"/>
                <w:szCs w:val="24"/>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74C12B" w14:textId="77777777" w:rsidR="004E6D8A" w:rsidRPr="0029408A" w:rsidRDefault="004E6D8A" w:rsidP="004E6D8A">
            <w:pPr>
              <w:spacing w:after="0" w:line="240" w:lineRule="auto"/>
              <w:rPr>
                <w:rFonts w:ascii="Times New Roman" w:eastAsia="Times New Roman" w:hAnsi="Times New Roman"/>
                <w:b/>
                <w:bCs/>
                <w:color w:val="000000"/>
                <w:sz w:val="24"/>
                <w:szCs w:val="24"/>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236AB5" w14:textId="77777777" w:rsidR="004E6D8A" w:rsidRPr="0029408A" w:rsidRDefault="004E6D8A" w:rsidP="004E6D8A">
            <w:pPr>
              <w:spacing w:after="0" w:line="240" w:lineRule="auto"/>
              <w:rPr>
                <w:rFonts w:ascii="Times New Roman" w:eastAsia="Times New Roman" w:hAnsi="Times New Roman"/>
                <w:b/>
                <w:bCs/>
                <w:color w:val="000000"/>
                <w:sz w:val="24"/>
                <w:szCs w:val="24"/>
                <w:lang w:val="en-GB"/>
              </w:rPr>
            </w:pPr>
          </w:p>
        </w:tc>
        <w:tc>
          <w:tcPr>
            <w:tcW w:w="13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C184A9" w14:textId="77777777" w:rsidR="004E6D8A" w:rsidRPr="0029408A" w:rsidRDefault="004E6D8A"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A</w:t>
            </w:r>
            <w:r w:rsidRPr="0029408A">
              <w:rPr>
                <w:rFonts w:ascii="Times New Roman" w:eastAsia="Times New Roman" w:hAnsi="Times New Roman"/>
                <w:b/>
                <w:bCs/>
                <w:color w:val="000000"/>
                <w:sz w:val="24"/>
                <w:szCs w:val="24"/>
                <w:vertAlign w:val="superscript"/>
                <w:lang w:val="en-GB"/>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0B183E" w14:textId="77777777" w:rsidR="004E6D8A" w:rsidRPr="0029408A" w:rsidRDefault="004E6D8A"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B</w:t>
            </w:r>
            <w:r w:rsidRPr="0029408A">
              <w:rPr>
                <w:rFonts w:ascii="Times New Roman" w:eastAsia="Times New Roman" w:hAnsi="Times New Roman"/>
                <w:b/>
                <w:bCs/>
                <w:color w:val="000000"/>
                <w:sz w:val="24"/>
                <w:szCs w:val="24"/>
                <w:vertAlign w:val="superscript"/>
                <w:lang w:val="en-GB"/>
              </w:rPr>
              <w:t>1</w:t>
            </w:r>
          </w:p>
        </w:tc>
        <w:tc>
          <w:tcPr>
            <w:tcW w:w="21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ADDBFE" w14:textId="77777777" w:rsidR="004E6D8A" w:rsidRPr="0029408A" w:rsidRDefault="004E6D8A"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C</w:t>
            </w:r>
            <w:r w:rsidRPr="0029408A">
              <w:rPr>
                <w:rFonts w:ascii="Times New Roman" w:eastAsia="Times New Roman" w:hAnsi="Times New Roman"/>
                <w:b/>
                <w:bCs/>
                <w:color w:val="000000"/>
                <w:sz w:val="24"/>
                <w:szCs w:val="24"/>
                <w:vertAlign w:val="superscript"/>
                <w:lang w:val="en-GB"/>
              </w:rPr>
              <w:t>1</w:t>
            </w:r>
          </w:p>
        </w:tc>
        <w:tc>
          <w:tcPr>
            <w:tcW w:w="6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DD4E1A" w14:textId="77777777" w:rsidR="004E6D8A" w:rsidRPr="0029408A" w:rsidRDefault="004E6D8A"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A</w:t>
            </w:r>
            <w:r w:rsidRPr="0029408A">
              <w:rPr>
                <w:rFonts w:ascii="Times New Roman" w:eastAsia="Times New Roman" w:hAnsi="Times New Roman"/>
                <w:b/>
                <w:bCs/>
                <w:color w:val="000000"/>
                <w:sz w:val="24"/>
                <w:szCs w:val="24"/>
                <w:vertAlign w:val="superscript"/>
                <w:lang w:val="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0A2971" w14:textId="77777777" w:rsidR="004E6D8A" w:rsidRPr="0029408A" w:rsidRDefault="004E6D8A"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B</w:t>
            </w:r>
            <w:r w:rsidRPr="0029408A">
              <w:rPr>
                <w:rFonts w:ascii="Times New Roman" w:eastAsia="Times New Roman" w:hAnsi="Times New Roman"/>
                <w:b/>
                <w:bCs/>
                <w:color w:val="000000"/>
                <w:sz w:val="24"/>
                <w:szCs w:val="24"/>
                <w:vertAlign w:val="superscript"/>
                <w:lang w:val="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5E4A068" w14:textId="77777777" w:rsidR="004E6D8A" w:rsidRPr="0029408A" w:rsidRDefault="004E6D8A"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C</w:t>
            </w:r>
            <w:r w:rsidRPr="0029408A">
              <w:rPr>
                <w:rFonts w:ascii="Times New Roman" w:eastAsia="Times New Roman" w:hAnsi="Times New Roman"/>
                <w:b/>
                <w:bCs/>
                <w:color w:val="000000"/>
                <w:sz w:val="24"/>
                <w:szCs w:val="24"/>
                <w:vertAlign w:val="superscript"/>
                <w:lang w:val="en-GB"/>
              </w:rPr>
              <w:t>2</w:t>
            </w:r>
          </w:p>
        </w:tc>
      </w:tr>
      <w:tr w:rsidR="000F2B3E" w:rsidRPr="0029408A" w14:paraId="5FCA7754" w14:textId="77777777" w:rsidTr="00B46D0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BF49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1. </w:t>
            </w:r>
            <w:r w:rsidR="005D3E46" w:rsidRPr="0029408A">
              <w:rPr>
                <w:rFonts w:ascii="Times New Roman" w:eastAsia="Times New Roman" w:hAnsi="Times New Roman"/>
                <w:color w:val="000000"/>
                <w:sz w:val="24"/>
                <w:szCs w:val="24"/>
                <w:lang w:val="en-GB"/>
              </w:rPr>
              <w:t>Deposit amount (minimum / maximum) in national currency / foreign currency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25C8E"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5936B"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x</w:t>
            </w: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55600"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107A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2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F80B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9A74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3FF0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1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A8E8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6B23D9A0" w14:textId="77777777" w:rsidTr="00B46D0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0CAD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2. </w:t>
            </w:r>
            <w:r w:rsidR="0089048E" w:rsidRPr="0029408A">
              <w:rPr>
                <w:rFonts w:ascii="Times New Roman" w:eastAsia="Times New Roman" w:hAnsi="Times New Roman"/>
                <w:color w:val="000000"/>
                <w:sz w:val="24"/>
                <w:szCs w:val="24"/>
                <w:lang w:val="en-GB"/>
              </w:rPr>
              <w:t>Term of acceptance of the deposit (time or sight) in national currency / foreign currency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1DD6A"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8008E"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x</w:t>
            </w: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A0149"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FFBC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2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9D15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1A3B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38A6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0D40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35D9AC7D" w14:textId="77777777" w:rsidTr="00B46D0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0C65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3. </w:t>
            </w:r>
            <w:r w:rsidR="0089048E" w:rsidRPr="0029408A">
              <w:rPr>
                <w:rFonts w:ascii="Times New Roman" w:eastAsia="Times New Roman" w:hAnsi="Times New Roman"/>
                <w:color w:val="000000"/>
                <w:sz w:val="24"/>
                <w:szCs w:val="24"/>
                <w:lang w:val="en-GB"/>
              </w:rPr>
              <w:t>Deposit acceptance currency (national currency / foreign currency)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5AAC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596D2"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7B9F2"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579F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2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3E44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A17F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64F3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923A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4F96DEDC" w14:textId="77777777" w:rsidTr="00B46D0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B03A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4. </w:t>
            </w:r>
            <w:r w:rsidR="003F2D8C" w:rsidRPr="0029408A">
              <w:rPr>
                <w:rFonts w:ascii="Times New Roman" w:eastAsia="Times New Roman" w:hAnsi="Times New Roman"/>
                <w:color w:val="000000"/>
                <w:sz w:val="24"/>
                <w:szCs w:val="24"/>
                <w:lang w:val="en-GB"/>
              </w:rPr>
              <w:t>Interest rate (floating / fixed) on deposits accepted in national currency / foreign currency, as well as the method of calculating the value of the interest rate, which will be presented by means of representative examples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94D5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879FC"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CBD18"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F280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2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E392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36D0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97F0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BFEB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4D57CD40" w14:textId="77777777" w:rsidTr="00B46D0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082D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5. </w:t>
            </w:r>
            <w:r w:rsidR="00403FC7" w:rsidRPr="0029408A">
              <w:rPr>
                <w:rFonts w:ascii="Times New Roman" w:eastAsia="Times New Roman" w:hAnsi="Times New Roman"/>
                <w:color w:val="000000"/>
                <w:sz w:val="24"/>
                <w:szCs w:val="24"/>
                <w:lang w:val="en-GB"/>
              </w:rPr>
              <w:t>The manner (with or without capitalization) and the term / periodicity of interest payment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8B25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FC3CB"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7486C"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20C8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2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6B6A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B412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F260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2782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4D697801" w14:textId="77777777" w:rsidTr="00B46D0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9F7B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6. </w:t>
            </w:r>
            <w:r w:rsidR="00403FC7" w:rsidRPr="0029408A">
              <w:rPr>
                <w:rFonts w:ascii="Times New Roman" w:eastAsia="Times New Roman" w:hAnsi="Times New Roman"/>
                <w:color w:val="000000"/>
                <w:sz w:val="24"/>
                <w:szCs w:val="24"/>
                <w:lang w:val="en-GB"/>
              </w:rPr>
              <w:t>The right and conditions for changing the interest rate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16E7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89C08"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6CAF5"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4C9C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2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DE10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E046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B0AC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952C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0827DD83" w14:textId="77777777" w:rsidTr="00B46D0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DA4C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7. </w:t>
            </w:r>
            <w:r w:rsidR="00B3615B" w:rsidRPr="0029408A">
              <w:rPr>
                <w:rFonts w:ascii="Times New Roman" w:eastAsia="Times New Roman" w:hAnsi="Times New Roman"/>
                <w:color w:val="000000"/>
                <w:sz w:val="24"/>
                <w:szCs w:val="24"/>
                <w:lang w:val="en-GB"/>
              </w:rPr>
              <w:t>Commissions, fees related to the opening and maintenance of the deposit account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7BED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0EF56"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A76AE"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7D32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2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BF58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61F3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87A8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0E54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01AB6B25" w14:textId="77777777" w:rsidTr="00B46D0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9977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8. </w:t>
            </w:r>
            <w:r w:rsidR="00B3615B" w:rsidRPr="0029408A">
              <w:rPr>
                <w:rFonts w:ascii="Times New Roman" w:eastAsia="Times New Roman" w:hAnsi="Times New Roman"/>
                <w:color w:val="000000"/>
                <w:sz w:val="24"/>
                <w:szCs w:val="24"/>
                <w:lang w:val="en-GB"/>
              </w:rPr>
              <w:t>The right and the manner of supplementing or partial withdrawal of the funds from the deposit account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4CF3A"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ECEFE"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x</w:t>
            </w: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7C7E8"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CDCC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2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DD14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2394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B4FC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F4A2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3DA7BF26" w14:textId="77777777" w:rsidTr="00B46D0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A22C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9. </w:t>
            </w:r>
            <w:r w:rsidR="00B3615B" w:rsidRPr="0029408A">
              <w:rPr>
                <w:rFonts w:ascii="Times New Roman" w:eastAsia="Times New Roman" w:hAnsi="Times New Roman"/>
                <w:color w:val="000000"/>
                <w:sz w:val="24"/>
                <w:szCs w:val="24"/>
                <w:lang w:val="en-GB"/>
              </w:rPr>
              <w:t>Conditions for termination of the deposit contract before the deadline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569A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28348"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33EAC"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7F3F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2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766B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CF48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D61F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41DC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698AA600" w14:textId="77777777" w:rsidTr="00B46D0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CFCE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10. </w:t>
            </w:r>
            <w:r w:rsidR="00B3615B" w:rsidRPr="0029408A">
              <w:rPr>
                <w:rFonts w:ascii="Times New Roman" w:eastAsia="Times New Roman" w:hAnsi="Times New Roman"/>
                <w:color w:val="000000"/>
                <w:sz w:val="24"/>
                <w:szCs w:val="24"/>
                <w:lang w:val="en-GB"/>
              </w:rPr>
              <w:t>Documents required for opening, modifying and closing the deposit account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E290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954A7"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1536C"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A3E6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2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821E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853F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ABA9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44C9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23E1C328" w14:textId="77777777" w:rsidTr="00B46D01">
        <w:trPr>
          <w:jc w:val="center"/>
        </w:trPr>
        <w:tc>
          <w:tcPr>
            <w:tcW w:w="4998" w:type="pct"/>
            <w:gridSpan w:val="9"/>
            <w:tcBorders>
              <w:top w:val="single" w:sz="6" w:space="0" w:color="000000"/>
              <w:left w:val="nil"/>
              <w:bottom w:val="nil"/>
              <w:right w:val="nil"/>
            </w:tcBorders>
            <w:tcMar>
              <w:top w:w="24" w:type="dxa"/>
              <w:left w:w="48" w:type="dxa"/>
              <w:bottom w:w="24" w:type="dxa"/>
              <w:right w:w="48" w:type="dxa"/>
            </w:tcMar>
            <w:hideMark/>
          </w:tcPr>
          <w:p w14:paraId="070F3ED9"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p w14:paraId="6EEAAD12" w14:textId="77777777" w:rsidR="004E6D8A" w:rsidRPr="0029408A" w:rsidRDefault="00F3642C"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lastRenderedPageBreak/>
              <w:t>At the end of the table, the "Guidelines for opening deposit accounts" will be accessed at a distance of one click, according to point 30, subpoint 4).</w:t>
            </w:r>
          </w:p>
          <w:p w14:paraId="3BFE8C1E"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p w14:paraId="2F52290D" w14:textId="77777777" w:rsidR="00C4045D" w:rsidRPr="0029408A" w:rsidRDefault="00C4045D" w:rsidP="00C4045D">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 xml:space="preserve">Note: </w:t>
            </w:r>
            <w:r w:rsidRPr="0029408A">
              <w:rPr>
                <w:rFonts w:ascii="Times New Roman" w:eastAsia="Times New Roman" w:hAnsi="Times New Roman"/>
                <w:bCs/>
                <w:color w:val="000000"/>
                <w:sz w:val="24"/>
                <w:szCs w:val="24"/>
                <w:lang w:val="en-GB"/>
              </w:rPr>
              <w:t>The information is published in accordance with the provisions of the Regulation on the requirements for publication</w:t>
            </w:r>
          </w:p>
          <w:p w14:paraId="7DFD9C81" w14:textId="77777777" w:rsidR="004E6D8A" w:rsidRPr="0029408A" w:rsidRDefault="00C4045D" w:rsidP="00C4045D">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bCs/>
                <w:color w:val="000000"/>
                <w:sz w:val="24"/>
                <w:szCs w:val="24"/>
                <w:lang w:val="en-GB"/>
              </w:rPr>
              <w:t>of information by banks</w:t>
            </w:r>
          </w:p>
          <w:p w14:paraId="0569F754"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vertAlign w:val="superscript"/>
                <w:lang w:val="en-GB"/>
              </w:rPr>
              <w:t>1, 2</w:t>
            </w:r>
            <w:r w:rsidRPr="0029408A">
              <w:rPr>
                <w:rFonts w:ascii="Times New Roman" w:eastAsia="Times New Roman" w:hAnsi="Times New Roman"/>
                <w:color w:val="000000"/>
                <w:sz w:val="24"/>
                <w:szCs w:val="24"/>
                <w:lang w:val="en-GB"/>
              </w:rPr>
              <w:t xml:space="preserve"> </w:t>
            </w:r>
            <w:r w:rsidR="00C4045D" w:rsidRPr="0029408A">
              <w:rPr>
                <w:rFonts w:ascii="Times New Roman" w:eastAsia="Times New Roman" w:hAnsi="Times New Roman"/>
                <w:color w:val="000000"/>
                <w:sz w:val="24"/>
                <w:szCs w:val="24"/>
                <w:lang w:val="en-GB"/>
              </w:rPr>
              <w:t>It is classified according to the name and characteristic of the deposit according to the destination (term, interest rate, beneficiary, etc.)</w:t>
            </w:r>
          </w:p>
          <w:p w14:paraId="4D420BBC"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p w14:paraId="79C90A4E" w14:textId="77777777" w:rsidR="004E6D8A" w:rsidRPr="0029408A" w:rsidRDefault="00C4045D"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Signature</w:t>
            </w:r>
            <w:r w:rsidR="004E6D8A" w:rsidRPr="0029408A">
              <w:rPr>
                <w:rFonts w:ascii="Times New Roman" w:eastAsia="Times New Roman" w:hAnsi="Times New Roman"/>
                <w:b/>
                <w:bCs/>
                <w:color w:val="000000"/>
                <w:sz w:val="24"/>
                <w:szCs w:val="24"/>
                <w:lang w:val="en-GB"/>
              </w:rPr>
              <w:t>:</w:t>
            </w:r>
          </w:p>
          <w:p w14:paraId="309D3877" w14:textId="77777777" w:rsidR="004E6D8A" w:rsidRPr="0029408A" w:rsidRDefault="00C4045D"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hAnsi="Times New Roman"/>
                <w:b/>
                <w:bCs/>
                <w:color w:val="000000"/>
                <w:sz w:val="24"/>
                <w:lang w:val="en-GB"/>
              </w:rPr>
              <w:t xml:space="preserve">Head of the bank's </w:t>
            </w:r>
            <w:r w:rsidR="00371EF8" w:rsidRPr="0029408A">
              <w:rPr>
                <w:rFonts w:ascii="Times New Roman" w:hAnsi="Times New Roman"/>
                <w:b/>
                <w:bCs/>
                <w:color w:val="000000"/>
                <w:sz w:val="24"/>
                <w:lang w:val="en-GB"/>
              </w:rPr>
              <w:t>executive body</w:t>
            </w:r>
            <w:r w:rsidR="004E6D8A" w:rsidRPr="0029408A">
              <w:rPr>
                <w:rFonts w:ascii="Times New Roman" w:eastAsia="Times New Roman" w:hAnsi="Times New Roman"/>
                <w:color w:val="000000"/>
                <w:sz w:val="24"/>
                <w:szCs w:val="24"/>
                <w:lang w:val="en-GB"/>
              </w:rPr>
              <w:t xml:space="preserve">________________________ </w:t>
            </w:r>
          </w:p>
          <w:p w14:paraId="1A8BF6E3"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r w:rsidR="00871873" w:rsidRPr="0029408A">
              <w:rPr>
                <w:rFonts w:ascii="Times New Roman" w:hAnsi="Times New Roman"/>
                <w:color w:val="000000"/>
                <w:lang w:val="en-GB"/>
              </w:rPr>
              <w:t>name, surname, position</w:t>
            </w:r>
            <w:r w:rsidRPr="0029408A">
              <w:rPr>
                <w:rFonts w:ascii="Times New Roman" w:eastAsia="Times New Roman" w:hAnsi="Times New Roman"/>
                <w:color w:val="000000"/>
                <w:sz w:val="24"/>
                <w:szCs w:val="24"/>
                <w:lang w:val="en-GB"/>
              </w:rPr>
              <w:t>)</w:t>
            </w:r>
          </w:p>
          <w:p w14:paraId="068B2B26" w14:textId="77777777" w:rsidR="00F559B7" w:rsidRPr="0029408A" w:rsidRDefault="00F559B7" w:rsidP="004E6D8A">
            <w:pPr>
              <w:spacing w:after="0" w:line="240" w:lineRule="auto"/>
              <w:ind w:firstLine="567"/>
              <w:jc w:val="both"/>
              <w:rPr>
                <w:rFonts w:ascii="Times New Roman" w:eastAsia="Times New Roman" w:hAnsi="Times New Roman"/>
                <w:color w:val="000000"/>
                <w:sz w:val="24"/>
                <w:szCs w:val="24"/>
                <w:lang w:val="en-GB"/>
              </w:rPr>
            </w:pPr>
          </w:p>
          <w:p w14:paraId="24030BA0" w14:textId="77777777" w:rsidR="004E6D8A" w:rsidRPr="0029408A" w:rsidRDefault="00F559B7"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Date of preparation / where applicable, date of entry into force</w:t>
            </w:r>
            <w:r w:rsidR="004E6D8A" w:rsidRPr="0029408A">
              <w:rPr>
                <w:rFonts w:ascii="Times New Roman" w:eastAsia="Times New Roman" w:hAnsi="Times New Roman"/>
                <w:b/>
                <w:bCs/>
                <w:color w:val="000000"/>
                <w:sz w:val="24"/>
                <w:szCs w:val="24"/>
                <w:lang w:val="en-GB"/>
              </w:rPr>
              <w:t xml:space="preserve"> “</w:t>
            </w:r>
            <w:r w:rsidR="004E6D8A" w:rsidRPr="0029408A">
              <w:rPr>
                <w:rFonts w:ascii="Times New Roman" w:eastAsia="Times New Roman" w:hAnsi="Times New Roman"/>
                <w:color w:val="000000"/>
                <w:sz w:val="24"/>
                <w:szCs w:val="24"/>
                <w:lang w:val="en-GB"/>
              </w:rPr>
              <w:t>___</w:t>
            </w:r>
            <w:r w:rsidR="004E6D8A" w:rsidRPr="0029408A">
              <w:rPr>
                <w:rFonts w:ascii="Times New Roman" w:eastAsia="Times New Roman" w:hAnsi="Times New Roman"/>
                <w:b/>
                <w:bCs/>
                <w:color w:val="000000"/>
                <w:sz w:val="24"/>
                <w:szCs w:val="24"/>
                <w:lang w:val="en-GB"/>
              </w:rPr>
              <w:t>”</w:t>
            </w:r>
            <w:r w:rsidR="004E6D8A" w:rsidRPr="0029408A">
              <w:rPr>
                <w:rFonts w:ascii="Times New Roman" w:eastAsia="Times New Roman" w:hAnsi="Times New Roman"/>
                <w:color w:val="000000"/>
                <w:sz w:val="24"/>
                <w:szCs w:val="24"/>
                <w:lang w:val="en-GB"/>
              </w:rPr>
              <w:t xml:space="preserve"> __________________</w:t>
            </w:r>
            <w:r w:rsidR="004E6D8A" w:rsidRPr="0029408A">
              <w:rPr>
                <w:rFonts w:ascii="Times New Roman" w:eastAsia="Times New Roman" w:hAnsi="Times New Roman"/>
                <w:b/>
                <w:bCs/>
                <w:color w:val="000000"/>
                <w:sz w:val="24"/>
                <w:szCs w:val="24"/>
                <w:lang w:val="en-GB"/>
              </w:rPr>
              <w:t>.</w:t>
            </w:r>
          </w:p>
        </w:tc>
      </w:tr>
    </w:tbl>
    <w:p w14:paraId="27089AB1" w14:textId="77777777" w:rsidR="004E6D8A" w:rsidRPr="0029408A" w:rsidRDefault="004E6D8A" w:rsidP="00F20B5E">
      <w:pPr>
        <w:spacing w:after="0" w:line="240" w:lineRule="auto"/>
        <w:ind w:firstLine="567"/>
        <w:jc w:val="both"/>
        <w:rPr>
          <w:rFonts w:ascii="Times New Roman" w:eastAsia="Times New Roman" w:hAnsi="Times New Roman"/>
          <w:i/>
          <w:iCs/>
          <w:color w:val="000000"/>
          <w:sz w:val="24"/>
          <w:szCs w:val="24"/>
          <w:lang w:val="en-GB"/>
        </w:rPr>
      </w:pPr>
      <w:r w:rsidRPr="0029408A">
        <w:rPr>
          <w:rFonts w:ascii="Times New Roman" w:eastAsia="Times New Roman" w:hAnsi="Times New Roman"/>
          <w:color w:val="000000"/>
          <w:sz w:val="24"/>
          <w:szCs w:val="24"/>
          <w:lang w:val="en-GB"/>
        </w:rPr>
        <w:lastRenderedPageBreak/>
        <w:t> </w:t>
      </w:r>
    </w:p>
    <w:p w14:paraId="102344E1" w14:textId="77777777" w:rsidR="00AA4EA2" w:rsidRPr="0029408A" w:rsidRDefault="00AA4EA2" w:rsidP="00C4045D">
      <w:pPr>
        <w:spacing w:after="0" w:line="240" w:lineRule="auto"/>
        <w:ind w:firstLine="567"/>
        <w:jc w:val="both"/>
        <w:rPr>
          <w:rFonts w:ascii="Times New Roman" w:eastAsia="Times New Roman" w:hAnsi="Times New Roman"/>
          <w:color w:val="000000"/>
          <w:sz w:val="24"/>
          <w:szCs w:val="24"/>
          <w:lang w:val="en-GB"/>
        </w:rPr>
      </w:pPr>
    </w:p>
    <w:p w14:paraId="341637A4" w14:textId="77777777" w:rsidR="00AA4EA2" w:rsidRPr="0029408A" w:rsidRDefault="00AA4EA2">
      <w:pP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br w:type="page"/>
      </w:r>
    </w:p>
    <w:p w14:paraId="5361687E"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p>
    <w:tbl>
      <w:tblPr>
        <w:tblW w:w="4500" w:type="pct"/>
        <w:jc w:val="center"/>
        <w:tblCellMar>
          <w:top w:w="15" w:type="dxa"/>
          <w:left w:w="15" w:type="dxa"/>
          <w:bottom w:w="15" w:type="dxa"/>
          <w:right w:w="15" w:type="dxa"/>
        </w:tblCellMar>
        <w:tblLook w:val="04A0" w:firstRow="1" w:lastRow="0" w:firstColumn="1" w:lastColumn="0" w:noHBand="0" w:noVBand="1"/>
      </w:tblPr>
      <w:tblGrid>
        <w:gridCol w:w="7510"/>
        <w:gridCol w:w="350"/>
        <w:gridCol w:w="337"/>
        <w:gridCol w:w="350"/>
        <w:gridCol w:w="350"/>
        <w:gridCol w:w="487"/>
        <w:gridCol w:w="470"/>
        <w:gridCol w:w="487"/>
        <w:gridCol w:w="487"/>
        <w:gridCol w:w="350"/>
        <w:gridCol w:w="337"/>
        <w:gridCol w:w="350"/>
        <w:gridCol w:w="350"/>
      </w:tblGrid>
      <w:tr w:rsidR="000F2B3E" w:rsidRPr="0029408A" w14:paraId="17B6729F" w14:textId="77777777" w:rsidTr="004E6D8A">
        <w:trPr>
          <w:jc w:val="center"/>
        </w:trPr>
        <w:tc>
          <w:tcPr>
            <w:tcW w:w="0" w:type="auto"/>
            <w:gridSpan w:val="13"/>
            <w:tcBorders>
              <w:top w:val="nil"/>
              <w:left w:val="nil"/>
              <w:bottom w:val="nil"/>
              <w:right w:val="nil"/>
            </w:tcBorders>
            <w:tcMar>
              <w:top w:w="24" w:type="dxa"/>
              <w:left w:w="48" w:type="dxa"/>
              <w:bottom w:w="24" w:type="dxa"/>
              <w:right w:w="48" w:type="dxa"/>
            </w:tcMar>
            <w:hideMark/>
          </w:tcPr>
          <w:p w14:paraId="5AF2826A" w14:textId="77777777" w:rsidR="009B0FC4" w:rsidRPr="0029408A" w:rsidRDefault="009B0FC4" w:rsidP="009B0FC4">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Annex No. 5 </w:t>
            </w:r>
          </w:p>
          <w:p w14:paraId="2481F1C7" w14:textId="77777777" w:rsidR="009B0FC4" w:rsidRPr="0029408A" w:rsidRDefault="009B0FC4" w:rsidP="009B0FC4">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to the </w:t>
            </w:r>
            <w:r w:rsidRPr="0029408A">
              <w:rPr>
                <w:rFonts w:ascii="Times New Roman" w:eastAsia="Times New Roman" w:hAnsi="Times New Roman"/>
                <w:bCs/>
                <w:color w:val="000000"/>
                <w:sz w:val="24"/>
                <w:szCs w:val="24"/>
                <w:lang w:val="en-GB"/>
              </w:rPr>
              <w:t>Regulation on the requirements for publication</w:t>
            </w:r>
          </w:p>
          <w:p w14:paraId="28252DE5" w14:textId="77777777" w:rsidR="003D019F" w:rsidRPr="0029408A" w:rsidRDefault="009B0FC4" w:rsidP="009B0FC4">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bCs/>
                <w:color w:val="000000"/>
                <w:sz w:val="24"/>
                <w:szCs w:val="24"/>
                <w:lang w:val="en-GB"/>
              </w:rPr>
              <w:t>of information by banks</w:t>
            </w:r>
          </w:p>
          <w:p w14:paraId="355E726C"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p w14:paraId="035876F9" w14:textId="77777777" w:rsidR="001F1CA5" w:rsidRPr="0029408A" w:rsidRDefault="001F1CA5"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 xml:space="preserve">INFORMATION </w:t>
            </w:r>
          </w:p>
          <w:p w14:paraId="73D8EAD9" w14:textId="77777777" w:rsidR="001F1CA5" w:rsidRPr="0029408A" w:rsidRDefault="001F1CA5"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 xml:space="preserve">on the conditions for granting loans </w:t>
            </w:r>
          </w:p>
          <w:p w14:paraId="63B6701B" w14:textId="77777777" w:rsidR="004E6D8A" w:rsidRPr="0029408A" w:rsidRDefault="001F1CA5"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by</w:t>
            </w:r>
            <w:r w:rsidR="004E6D8A" w:rsidRPr="0029408A">
              <w:rPr>
                <w:rFonts w:ascii="Times New Roman" w:eastAsia="Times New Roman" w:hAnsi="Times New Roman"/>
                <w:b/>
                <w:bCs/>
                <w:color w:val="000000"/>
                <w:sz w:val="24"/>
                <w:szCs w:val="24"/>
                <w:lang w:val="en-GB"/>
              </w:rPr>
              <w:t xml:space="preserve"> </w:t>
            </w:r>
            <w:r w:rsidR="004E6D8A" w:rsidRPr="0029408A">
              <w:rPr>
                <w:rFonts w:ascii="Times New Roman" w:eastAsia="Times New Roman" w:hAnsi="Times New Roman"/>
                <w:color w:val="000000"/>
                <w:sz w:val="24"/>
                <w:szCs w:val="24"/>
                <w:lang w:val="en-GB"/>
              </w:rPr>
              <w:t>________________________________</w:t>
            </w:r>
          </w:p>
          <w:p w14:paraId="68F79D96"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r w:rsidR="001F1CA5" w:rsidRPr="0029408A">
              <w:rPr>
                <w:rFonts w:ascii="Times New Roman" w:eastAsia="Times New Roman" w:hAnsi="Times New Roman"/>
                <w:color w:val="000000"/>
                <w:sz w:val="24"/>
                <w:szCs w:val="24"/>
                <w:lang w:val="en-GB"/>
              </w:rPr>
              <w:t>the name of the bank</w:t>
            </w:r>
            <w:r w:rsidRPr="0029408A">
              <w:rPr>
                <w:rFonts w:ascii="Times New Roman" w:eastAsia="Times New Roman" w:hAnsi="Times New Roman"/>
                <w:color w:val="000000"/>
                <w:sz w:val="24"/>
                <w:szCs w:val="24"/>
                <w:lang w:val="en-GB"/>
              </w:rPr>
              <w:t>)</w:t>
            </w:r>
          </w:p>
          <w:p w14:paraId="7E658544"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tc>
      </w:tr>
      <w:tr w:rsidR="000F2B3E" w:rsidRPr="0029408A" w14:paraId="21E985A9" w14:textId="77777777" w:rsidTr="004E6D8A">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vAlign w:val="center"/>
            <w:hideMark/>
          </w:tcPr>
          <w:p w14:paraId="4D580D69" w14:textId="77777777" w:rsidR="004E6D8A" w:rsidRPr="0029408A" w:rsidRDefault="001F1CA5" w:rsidP="005A5DFC">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Name of published information</w:t>
            </w:r>
          </w:p>
        </w:tc>
        <w:tc>
          <w:tcPr>
            <w:tcW w:w="0" w:type="auto"/>
            <w:gridSpan w:val="1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6075235" w14:textId="77777777" w:rsidR="004E6D8A" w:rsidRPr="0029408A" w:rsidRDefault="00AF2275"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Types of loans granted</w:t>
            </w:r>
            <w:r w:rsidR="003402E7" w:rsidRPr="0029408A">
              <w:rPr>
                <w:rFonts w:ascii="Times New Roman" w:eastAsia="Times New Roman" w:hAnsi="Times New Roman"/>
                <w:b/>
                <w:bCs/>
                <w:color w:val="000000"/>
                <w:sz w:val="24"/>
                <w:szCs w:val="24"/>
                <w:lang w:val="en-GB"/>
              </w:rPr>
              <w:t xml:space="preserve"> to</w:t>
            </w:r>
          </w:p>
        </w:tc>
      </w:tr>
      <w:tr w:rsidR="000F2B3E" w:rsidRPr="0029408A" w14:paraId="781EC57E" w14:textId="77777777" w:rsidTr="004E6D8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B96609" w14:textId="77777777" w:rsidR="004E6D8A" w:rsidRPr="0029408A" w:rsidRDefault="004E6D8A" w:rsidP="004E6D8A">
            <w:pPr>
              <w:spacing w:after="0" w:line="240" w:lineRule="auto"/>
              <w:rPr>
                <w:rFonts w:ascii="Times New Roman" w:eastAsia="Times New Roman" w:hAnsi="Times New Roman"/>
                <w:b/>
                <w:bCs/>
                <w:color w:val="000000"/>
                <w:sz w:val="24"/>
                <w:szCs w:val="24"/>
                <w:lang w:val="en-GB"/>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618C1F3D" w14:textId="77777777" w:rsidR="004E6D8A" w:rsidRPr="0029408A" w:rsidRDefault="003402E7"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consumers</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57975B4C" w14:textId="77777777" w:rsidR="004E6D8A" w:rsidRPr="0029408A" w:rsidRDefault="003402E7"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individuals who practice activity</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64966147" w14:textId="77777777" w:rsidR="004E6D8A" w:rsidRPr="0029408A" w:rsidRDefault="003402E7"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legal entities</w:t>
            </w:r>
          </w:p>
        </w:tc>
      </w:tr>
      <w:tr w:rsidR="000F2B3E" w:rsidRPr="0029408A" w14:paraId="08B4C05E" w14:textId="77777777" w:rsidTr="004E6D8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8B77C5" w14:textId="77777777" w:rsidR="004E6D8A" w:rsidRPr="0029408A" w:rsidRDefault="004E6D8A" w:rsidP="004E6D8A">
            <w:pPr>
              <w:spacing w:after="0" w:line="240" w:lineRule="auto"/>
              <w:rPr>
                <w:rFonts w:ascii="Times New Roman" w:eastAsia="Times New Roman" w:hAnsi="Times New Roman"/>
                <w:b/>
                <w:bCs/>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47EAA4B" w14:textId="77777777" w:rsidR="004E6D8A" w:rsidRPr="0029408A" w:rsidRDefault="004E6D8A"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A</w:t>
            </w:r>
            <w:r w:rsidRPr="0029408A">
              <w:rPr>
                <w:rFonts w:ascii="Times New Roman" w:eastAsia="Times New Roman" w:hAnsi="Times New Roman"/>
                <w:b/>
                <w:bCs/>
                <w:color w:val="000000"/>
                <w:sz w:val="24"/>
                <w:szCs w:val="24"/>
                <w:vertAlign w:val="superscript"/>
                <w:lang w:val="en-GB"/>
              </w:rPr>
              <w:t>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A57BE08" w14:textId="77777777" w:rsidR="004E6D8A" w:rsidRPr="0029408A" w:rsidRDefault="004E6D8A"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B</w:t>
            </w:r>
            <w:r w:rsidRPr="0029408A">
              <w:rPr>
                <w:rFonts w:ascii="Times New Roman" w:eastAsia="Times New Roman" w:hAnsi="Times New Roman"/>
                <w:b/>
                <w:bCs/>
                <w:color w:val="000000"/>
                <w:sz w:val="24"/>
                <w:szCs w:val="24"/>
                <w:vertAlign w:val="superscript"/>
                <w:lang w:val="en-GB"/>
              </w:rPr>
              <w:t>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1322415B" w14:textId="77777777" w:rsidR="004E6D8A" w:rsidRPr="0029408A" w:rsidRDefault="004E6D8A"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C</w:t>
            </w:r>
            <w:r w:rsidRPr="0029408A">
              <w:rPr>
                <w:rFonts w:ascii="Times New Roman" w:eastAsia="Times New Roman" w:hAnsi="Times New Roman"/>
                <w:b/>
                <w:bCs/>
                <w:color w:val="000000"/>
                <w:sz w:val="24"/>
                <w:szCs w:val="24"/>
                <w:vertAlign w:val="superscript"/>
                <w:lang w:val="en-GB"/>
              </w:rPr>
              <w:t>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431EAB2" w14:textId="77777777" w:rsidR="004E6D8A" w:rsidRPr="0029408A" w:rsidRDefault="004E6D8A"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D</w:t>
            </w:r>
            <w:r w:rsidRPr="0029408A">
              <w:rPr>
                <w:rFonts w:ascii="Times New Roman" w:eastAsia="Times New Roman" w:hAnsi="Times New Roman"/>
                <w:b/>
                <w:bCs/>
                <w:color w:val="000000"/>
                <w:sz w:val="24"/>
                <w:szCs w:val="24"/>
                <w:vertAlign w:val="superscript"/>
                <w:lang w:val="en-GB"/>
              </w:rPr>
              <w:t>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A056FB4" w14:textId="77777777" w:rsidR="004E6D8A" w:rsidRPr="0029408A" w:rsidRDefault="004E6D8A"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A</w:t>
            </w:r>
            <w:r w:rsidRPr="0029408A">
              <w:rPr>
                <w:rFonts w:ascii="Times New Roman" w:eastAsia="Times New Roman" w:hAnsi="Times New Roman"/>
                <w:b/>
                <w:bCs/>
                <w:color w:val="000000"/>
                <w:sz w:val="24"/>
                <w:szCs w:val="24"/>
                <w:vertAlign w:val="superscript"/>
                <w:lang w:val="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D9B1958" w14:textId="77777777" w:rsidR="004E6D8A" w:rsidRPr="0029408A" w:rsidRDefault="004E6D8A"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B</w:t>
            </w:r>
            <w:r w:rsidRPr="0029408A">
              <w:rPr>
                <w:rFonts w:ascii="Times New Roman" w:eastAsia="Times New Roman" w:hAnsi="Times New Roman"/>
                <w:b/>
                <w:bCs/>
                <w:color w:val="000000"/>
                <w:sz w:val="24"/>
                <w:szCs w:val="24"/>
                <w:vertAlign w:val="superscript"/>
                <w:lang w:val="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2280D5A" w14:textId="77777777" w:rsidR="004E6D8A" w:rsidRPr="0029408A" w:rsidRDefault="004E6D8A"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C</w:t>
            </w:r>
            <w:r w:rsidRPr="0029408A">
              <w:rPr>
                <w:rFonts w:ascii="Times New Roman" w:eastAsia="Times New Roman" w:hAnsi="Times New Roman"/>
                <w:b/>
                <w:bCs/>
                <w:color w:val="000000"/>
                <w:sz w:val="24"/>
                <w:szCs w:val="24"/>
                <w:vertAlign w:val="superscript"/>
                <w:lang w:val="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594FB01" w14:textId="77777777" w:rsidR="004E6D8A" w:rsidRPr="0029408A" w:rsidRDefault="004E6D8A"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D</w:t>
            </w:r>
            <w:r w:rsidRPr="0029408A">
              <w:rPr>
                <w:rFonts w:ascii="Times New Roman" w:eastAsia="Times New Roman" w:hAnsi="Times New Roman"/>
                <w:b/>
                <w:bCs/>
                <w:color w:val="000000"/>
                <w:sz w:val="24"/>
                <w:szCs w:val="24"/>
                <w:vertAlign w:val="superscript"/>
                <w:lang w:val="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F6E2FE0" w14:textId="77777777" w:rsidR="004E6D8A" w:rsidRPr="0029408A" w:rsidRDefault="004E6D8A"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A</w:t>
            </w:r>
            <w:r w:rsidRPr="0029408A">
              <w:rPr>
                <w:rFonts w:ascii="Times New Roman" w:eastAsia="Times New Roman" w:hAnsi="Times New Roman"/>
                <w:b/>
                <w:bCs/>
                <w:color w:val="000000"/>
                <w:sz w:val="24"/>
                <w:szCs w:val="24"/>
                <w:vertAlign w:val="superscript"/>
                <w:lang w:val="en-GB"/>
              </w:rPr>
              <w:t>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12F8E66" w14:textId="77777777" w:rsidR="004E6D8A" w:rsidRPr="0029408A" w:rsidRDefault="004E6D8A"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B</w:t>
            </w:r>
            <w:r w:rsidRPr="0029408A">
              <w:rPr>
                <w:rFonts w:ascii="Times New Roman" w:eastAsia="Times New Roman" w:hAnsi="Times New Roman"/>
                <w:b/>
                <w:bCs/>
                <w:color w:val="000000"/>
                <w:sz w:val="24"/>
                <w:szCs w:val="24"/>
                <w:vertAlign w:val="superscript"/>
                <w:lang w:val="en-GB"/>
              </w:rPr>
              <w:t>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5876B9CB" w14:textId="77777777" w:rsidR="004E6D8A" w:rsidRPr="0029408A" w:rsidRDefault="004E6D8A"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C</w:t>
            </w:r>
            <w:r w:rsidRPr="0029408A">
              <w:rPr>
                <w:rFonts w:ascii="Times New Roman" w:eastAsia="Times New Roman" w:hAnsi="Times New Roman"/>
                <w:b/>
                <w:bCs/>
                <w:color w:val="000000"/>
                <w:sz w:val="24"/>
                <w:szCs w:val="24"/>
                <w:vertAlign w:val="superscript"/>
                <w:lang w:val="en-GB"/>
              </w:rPr>
              <w:t>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5DC2794F" w14:textId="77777777" w:rsidR="004E6D8A" w:rsidRPr="0029408A" w:rsidRDefault="004E6D8A"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D</w:t>
            </w:r>
            <w:r w:rsidRPr="0029408A">
              <w:rPr>
                <w:rFonts w:ascii="Times New Roman" w:eastAsia="Times New Roman" w:hAnsi="Times New Roman"/>
                <w:b/>
                <w:bCs/>
                <w:color w:val="000000"/>
                <w:sz w:val="24"/>
                <w:szCs w:val="24"/>
                <w:vertAlign w:val="superscript"/>
                <w:lang w:val="en-GB"/>
              </w:rPr>
              <w:t>3</w:t>
            </w:r>
          </w:p>
        </w:tc>
      </w:tr>
      <w:tr w:rsidR="000F2B3E" w:rsidRPr="0029408A" w14:paraId="007F391F"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4828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1. </w:t>
            </w:r>
            <w:r w:rsidR="001218F3" w:rsidRPr="0029408A">
              <w:rPr>
                <w:rFonts w:ascii="Times New Roman" w:eastAsia="Times New Roman" w:hAnsi="Times New Roman"/>
                <w:color w:val="000000"/>
                <w:sz w:val="24"/>
                <w:szCs w:val="24"/>
                <w:lang w:val="en-GB"/>
              </w:rPr>
              <w:t>Credit currency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F7D1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E6FE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7289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DDE0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ADDC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BCA9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85A9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7911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526F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3EFB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075E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9109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0B80CFBE"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F04D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2. </w:t>
            </w:r>
            <w:r w:rsidR="001218F3" w:rsidRPr="0029408A">
              <w:rPr>
                <w:rFonts w:ascii="Times New Roman" w:eastAsia="Times New Roman" w:hAnsi="Times New Roman"/>
                <w:color w:val="000000"/>
                <w:sz w:val="24"/>
                <w:szCs w:val="24"/>
                <w:lang w:val="en-GB"/>
              </w:rPr>
              <w:t>Total value of credit in national currency (minimum / maximum) / total value of credit in foreign currency (minimum / maximum)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8CCB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2B1C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B1C4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8825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E414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B985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0F18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E249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F050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FE82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921F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9C54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4AD78193"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E54E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3. </w:t>
            </w:r>
            <w:r w:rsidR="0031737F" w:rsidRPr="0029408A">
              <w:rPr>
                <w:rFonts w:ascii="Times New Roman" w:eastAsia="Times New Roman" w:hAnsi="Times New Roman"/>
                <w:color w:val="000000"/>
                <w:sz w:val="24"/>
                <w:szCs w:val="24"/>
                <w:lang w:val="en-GB"/>
              </w:rPr>
              <w:t>Credit interest rate, fixed / floating, in national currency (minimum / maximum) / in foreign currency (minimum / maximum), as well as the method of calculating the credit interest rate using at least two representative examples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356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6B5C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8EC8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6273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C64A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DCFC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9DEC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4B3C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12B8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F1B1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F9E7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F3C4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03C41C2E"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2B6E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4. </w:t>
            </w:r>
            <w:r w:rsidR="0031737F" w:rsidRPr="0029408A">
              <w:rPr>
                <w:rFonts w:ascii="Times New Roman" w:eastAsia="Times New Roman" w:hAnsi="Times New Roman"/>
                <w:color w:val="000000"/>
                <w:sz w:val="24"/>
                <w:szCs w:val="24"/>
                <w:lang w:val="en-GB"/>
              </w:rPr>
              <w:t>Duration of the credit agreement in national currency (minimum / maximum) / duration of the credit agreement in foreign currency (minimum / maximum)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F6ED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D284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EAEF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A1F2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9FF9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E6D2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EB80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6C13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FC25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019A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56B3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F22B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4FA30EEE"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9C5B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5. </w:t>
            </w:r>
            <w:r w:rsidR="002648F9" w:rsidRPr="0029408A">
              <w:rPr>
                <w:rFonts w:ascii="Times New Roman" w:eastAsia="Times New Roman" w:hAnsi="Times New Roman"/>
                <w:color w:val="000000"/>
                <w:sz w:val="24"/>
                <w:szCs w:val="24"/>
                <w:lang w:val="en-GB"/>
              </w:rPr>
              <w:t>Payments other than the interest rate related to the credit in national currency / foreign currency, which are included in the total cost of the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1B48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74C6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9D4A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07D2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D797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9843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26F2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FDD7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070C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36BD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DFAD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DE62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337F1E50"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0931B" w14:textId="77777777" w:rsidR="004E6D8A" w:rsidRPr="0029408A" w:rsidRDefault="004E6D8A" w:rsidP="004F765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6. </w:t>
            </w:r>
            <w:r w:rsidR="002648F9" w:rsidRPr="0029408A">
              <w:rPr>
                <w:rFonts w:ascii="Times New Roman" w:eastAsia="Times New Roman" w:hAnsi="Times New Roman"/>
                <w:color w:val="000000"/>
                <w:sz w:val="24"/>
                <w:szCs w:val="24"/>
                <w:lang w:val="en-GB"/>
              </w:rPr>
              <w:t>The effective annual interest rate of the credit in national currency / in foreign currency and the information set out in Art. 4 point (3) of Law no. 202/2013, as the case may be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85A1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3D6D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553A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67F2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8434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99AF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9C01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B9A4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9B6A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04AF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948C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948E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X</w:t>
            </w:r>
          </w:p>
        </w:tc>
      </w:tr>
      <w:tr w:rsidR="000F2B3E" w:rsidRPr="0029408A" w14:paraId="34344AFB"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AACB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7. </w:t>
            </w:r>
            <w:r w:rsidR="003C6B44" w:rsidRPr="0029408A">
              <w:rPr>
                <w:rFonts w:ascii="Times New Roman" w:eastAsia="Times New Roman" w:hAnsi="Times New Roman"/>
                <w:color w:val="000000"/>
                <w:sz w:val="24"/>
                <w:szCs w:val="24"/>
                <w:lang w:val="en-GB"/>
              </w:rPr>
              <w:t xml:space="preserve">Mode (annuities, </w:t>
            </w:r>
            <w:proofErr w:type="spellStart"/>
            <w:r w:rsidR="003C6B44" w:rsidRPr="0029408A">
              <w:rPr>
                <w:rFonts w:ascii="Times New Roman" w:eastAsia="Times New Roman" w:hAnsi="Times New Roman"/>
                <w:color w:val="000000"/>
                <w:sz w:val="24"/>
                <w:szCs w:val="24"/>
                <w:lang w:val="en-GB"/>
              </w:rPr>
              <w:t>installments</w:t>
            </w:r>
            <w:proofErr w:type="spellEnd"/>
            <w:r w:rsidR="003C6B44" w:rsidRPr="0029408A">
              <w:rPr>
                <w:rFonts w:ascii="Times New Roman" w:eastAsia="Times New Roman" w:hAnsi="Times New Roman"/>
                <w:color w:val="000000"/>
                <w:sz w:val="24"/>
                <w:szCs w:val="24"/>
                <w:lang w:val="en-GB"/>
              </w:rPr>
              <w:t>, full) and frequency of payments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0D78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910D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8B85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3C09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0071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C097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30DF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B955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E32D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1D13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382F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43E3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3BD7EC4B"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D481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8. </w:t>
            </w:r>
            <w:r w:rsidR="003C6B44" w:rsidRPr="0029408A">
              <w:rPr>
                <w:rFonts w:ascii="Times New Roman" w:eastAsia="Times New Roman" w:hAnsi="Times New Roman"/>
                <w:color w:val="000000"/>
                <w:sz w:val="24"/>
                <w:szCs w:val="24"/>
                <w:lang w:val="en-GB"/>
              </w:rPr>
              <w:t>Documents required to obtain the loan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36A1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9654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FDAE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D453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4B6B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1F6E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AAC4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FF2E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5D92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8ECE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5799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6729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236B2525"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0CB5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lastRenderedPageBreak/>
              <w:t xml:space="preserve">9. </w:t>
            </w:r>
            <w:r w:rsidR="00F51826" w:rsidRPr="0029408A">
              <w:rPr>
                <w:rFonts w:ascii="Times New Roman" w:eastAsia="Times New Roman" w:hAnsi="Times New Roman"/>
                <w:color w:val="000000"/>
                <w:sz w:val="24"/>
                <w:szCs w:val="24"/>
                <w:lang w:val="en-GB"/>
              </w:rPr>
              <w:t>Forms of credit insurance accepted by the bank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6B1F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6EC6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8464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D966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F70C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6D5E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863D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C25F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991A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4B4F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F3BA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039E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6A5C9786"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CD36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10. </w:t>
            </w:r>
            <w:r w:rsidR="0004761E" w:rsidRPr="0029408A">
              <w:rPr>
                <w:rFonts w:ascii="Times New Roman" w:eastAsia="Times New Roman" w:hAnsi="Times New Roman"/>
                <w:color w:val="000000"/>
                <w:sz w:val="24"/>
                <w:szCs w:val="24"/>
                <w:lang w:val="en-GB"/>
              </w:rPr>
              <w:t>The effects of the early repayment, as well as the penalties related to the credit agreement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81EB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03B9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9C34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63F7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D473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1EF6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A4E3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82B8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B1B8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B23E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DB21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6977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15A9343D"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DE8D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11. </w:t>
            </w:r>
            <w:r w:rsidR="0004761E" w:rsidRPr="0029408A">
              <w:rPr>
                <w:rFonts w:ascii="Times New Roman" w:eastAsia="Times New Roman" w:hAnsi="Times New Roman"/>
                <w:color w:val="000000"/>
                <w:sz w:val="24"/>
                <w:szCs w:val="24"/>
                <w:lang w:val="en-GB"/>
              </w:rPr>
              <w:t>Conditions under which the interest rate may change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A4EE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2DD9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C07F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9FFA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22FC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F5AB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87A5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9731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0B79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EB50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2A8D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4839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0F473C66"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5CFB8" w14:textId="77777777" w:rsidR="004E6D8A" w:rsidRPr="0029408A" w:rsidRDefault="004E6D8A" w:rsidP="004F3DBF">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12. </w:t>
            </w:r>
            <w:r w:rsidR="0004761E" w:rsidRPr="0029408A">
              <w:rPr>
                <w:rFonts w:ascii="Times New Roman" w:eastAsia="Times New Roman" w:hAnsi="Times New Roman"/>
                <w:color w:val="000000"/>
                <w:sz w:val="24"/>
                <w:szCs w:val="24"/>
                <w:lang w:val="en-GB"/>
              </w:rPr>
              <w:t xml:space="preserve">Mention that for </w:t>
            </w:r>
            <w:r w:rsidR="004F3DBF" w:rsidRPr="0029408A">
              <w:rPr>
                <w:rFonts w:ascii="Times New Roman" w:eastAsia="Times New Roman" w:hAnsi="Times New Roman"/>
                <w:color w:val="000000"/>
                <w:sz w:val="24"/>
                <w:szCs w:val="24"/>
                <w:lang w:val="en-GB"/>
              </w:rPr>
              <w:t>loans</w:t>
            </w:r>
            <w:r w:rsidR="0004761E" w:rsidRPr="0029408A">
              <w:rPr>
                <w:rFonts w:ascii="Times New Roman" w:eastAsia="Times New Roman" w:hAnsi="Times New Roman"/>
                <w:color w:val="000000"/>
                <w:sz w:val="24"/>
                <w:szCs w:val="24"/>
                <w:lang w:val="en-GB"/>
              </w:rPr>
              <w:t xml:space="preserve"> granted in foreign currency or in the national currency attached to the exchange rate, the payments will change depending on the evolution of the Moldovan leu exchange rate against foreign currencies, if the payments will be made in the national currency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E8B3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0118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E343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56A8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4D3B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B44C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9BD8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922A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38AD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1D44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8E1B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8C98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49C3130C"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4C31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13. </w:t>
            </w:r>
            <w:r w:rsidR="006036E6" w:rsidRPr="0029408A">
              <w:rPr>
                <w:rFonts w:ascii="Times New Roman" w:eastAsia="Times New Roman" w:hAnsi="Times New Roman"/>
                <w:color w:val="000000"/>
                <w:sz w:val="24"/>
                <w:szCs w:val="24"/>
                <w:lang w:val="en-GB"/>
              </w:rPr>
              <w:t>How to apply the exchange rate when making payments related to loans granted in foreign currency or in the national currency attached to the foreign exchange rate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C048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635A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4877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D53C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466E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C121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DFCD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9250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DAF5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B9E5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6BA1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CC9B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7ED6E68B" w14:textId="77777777" w:rsidTr="004E6D8A">
        <w:trPr>
          <w:jc w:val="center"/>
        </w:trPr>
        <w:tc>
          <w:tcPr>
            <w:tcW w:w="0" w:type="auto"/>
            <w:gridSpan w:val="13"/>
            <w:tcBorders>
              <w:top w:val="nil"/>
              <w:left w:val="nil"/>
              <w:bottom w:val="nil"/>
              <w:right w:val="nil"/>
            </w:tcBorders>
            <w:tcMar>
              <w:top w:w="24" w:type="dxa"/>
              <w:left w:w="48" w:type="dxa"/>
              <w:bottom w:w="24" w:type="dxa"/>
              <w:right w:w="48" w:type="dxa"/>
            </w:tcMar>
            <w:hideMark/>
          </w:tcPr>
          <w:p w14:paraId="5BBE9B9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  </w:t>
            </w:r>
          </w:p>
          <w:p w14:paraId="3A63965F" w14:textId="77777777" w:rsidR="004E6D8A" w:rsidRPr="0029408A" w:rsidRDefault="007A2BC8"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 xml:space="preserve">NOTE: </w:t>
            </w:r>
            <w:r w:rsidRPr="0029408A">
              <w:rPr>
                <w:rFonts w:ascii="Times New Roman" w:eastAsia="Times New Roman" w:hAnsi="Times New Roman"/>
                <w:bCs/>
                <w:color w:val="000000"/>
                <w:sz w:val="24"/>
                <w:szCs w:val="24"/>
                <w:lang w:val="en-GB"/>
              </w:rPr>
              <w:t>The information is published in accordance with the provisions of the Regulation on the requirements for publication of information by banks.</w:t>
            </w:r>
            <w:r w:rsidR="00816CEE" w:rsidRPr="0029408A">
              <w:rPr>
                <w:rFonts w:ascii="Times New Roman" w:eastAsia="Times New Roman" w:hAnsi="Times New Roman"/>
                <w:color w:val="000000"/>
                <w:sz w:val="24"/>
                <w:szCs w:val="24"/>
                <w:lang w:val="en-GB" w:eastAsia="ru-RU"/>
              </w:rPr>
              <w:t xml:space="preserve"> </w:t>
            </w:r>
          </w:p>
          <w:p w14:paraId="198C7BED"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p w14:paraId="3D7AFC87"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vertAlign w:val="superscript"/>
                <w:lang w:val="en-GB"/>
              </w:rPr>
              <w:t>1</w:t>
            </w:r>
            <w:r w:rsidRPr="0029408A">
              <w:rPr>
                <w:rFonts w:ascii="Times New Roman" w:eastAsia="Times New Roman" w:hAnsi="Times New Roman"/>
                <w:color w:val="000000"/>
                <w:sz w:val="24"/>
                <w:szCs w:val="24"/>
                <w:lang w:val="en-GB"/>
              </w:rPr>
              <w:t xml:space="preserve"> </w:t>
            </w:r>
            <w:r w:rsidR="007A2BC8" w:rsidRPr="0029408A">
              <w:rPr>
                <w:rFonts w:ascii="Times New Roman" w:eastAsia="Times New Roman" w:hAnsi="Times New Roman"/>
                <w:color w:val="000000"/>
                <w:sz w:val="24"/>
                <w:szCs w:val="24"/>
                <w:lang w:val="en-GB"/>
              </w:rPr>
              <w:t xml:space="preserve">This category will reflect the types of </w:t>
            </w:r>
            <w:r w:rsidR="004F3DBF" w:rsidRPr="0029408A">
              <w:rPr>
                <w:rFonts w:ascii="Times New Roman" w:eastAsia="Times New Roman" w:hAnsi="Times New Roman"/>
                <w:color w:val="000000"/>
                <w:sz w:val="24"/>
                <w:szCs w:val="24"/>
                <w:lang w:val="en-GB"/>
              </w:rPr>
              <w:t>loan</w:t>
            </w:r>
            <w:r w:rsidR="007A2BC8" w:rsidRPr="0029408A">
              <w:rPr>
                <w:rFonts w:ascii="Times New Roman" w:eastAsia="Times New Roman" w:hAnsi="Times New Roman"/>
                <w:color w:val="000000"/>
                <w:sz w:val="24"/>
                <w:szCs w:val="24"/>
                <w:lang w:val="en-GB"/>
              </w:rPr>
              <w:t>s according to the destination (for example: for the purchase of cars, for studies, etc.).</w:t>
            </w:r>
          </w:p>
          <w:p w14:paraId="3236A12F"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vertAlign w:val="superscript"/>
                <w:lang w:val="en-GB"/>
              </w:rPr>
              <w:t>2</w:t>
            </w:r>
            <w:r w:rsidRPr="0029408A">
              <w:rPr>
                <w:rFonts w:ascii="Times New Roman" w:eastAsia="Times New Roman" w:hAnsi="Times New Roman"/>
                <w:color w:val="000000"/>
                <w:sz w:val="24"/>
                <w:szCs w:val="24"/>
                <w:lang w:val="en-GB"/>
              </w:rPr>
              <w:t xml:space="preserve"> </w:t>
            </w:r>
            <w:r w:rsidR="007A2BC8" w:rsidRPr="0029408A">
              <w:rPr>
                <w:rFonts w:ascii="Times New Roman" w:eastAsia="Times New Roman" w:hAnsi="Times New Roman"/>
                <w:color w:val="000000"/>
                <w:sz w:val="24"/>
                <w:szCs w:val="24"/>
                <w:lang w:val="en-GB"/>
              </w:rPr>
              <w:t xml:space="preserve">This category will reflect the types of </w:t>
            </w:r>
            <w:r w:rsidR="004F3DBF" w:rsidRPr="0029408A">
              <w:rPr>
                <w:rFonts w:ascii="Times New Roman" w:eastAsia="Times New Roman" w:hAnsi="Times New Roman"/>
                <w:color w:val="000000"/>
                <w:sz w:val="24"/>
                <w:szCs w:val="24"/>
                <w:lang w:val="en-GB"/>
              </w:rPr>
              <w:t>loan</w:t>
            </w:r>
            <w:r w:rsidR="007A2BC8" w:rsidRPr="0029408A">
              <w:rPr>
                <w:rFonts w:ascii="Times New Roman" w:eastAsia="Times New Roman" w:hAnsi="Times New Roman"/>
                <w:color w:val="000000"/>
                <w:sz w:val="24"/>
                <w:szCs w:val="24"/>
                <w:lang w:val="en-GB"/>
              </w:rPr>
              <w:t>s according to the destination (for example: for business development, supplementing fixed and / or current assets, etc.).</w:t>
            </w:r>
          </w:p>
          <w:p w14:paraId="74D24F41"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vertAlign w:val="superscript"/>
                <w:lang w:val="en-GB"/>
              </w:rPr>
              <w:t>3</w:t>
            </w:r>
            <w:r w:rsidRPr="0029408A">
              <w:rPr>
                <w:rFonts w:ascii="Times New Roman" w:eastAsia="Times New Roman" w:hAnsi="Times New Roman"/>
                <w:color w:val="000000"/>
                <w:sz w:val="24"/>
                <w:szCs w:val="24"/>
                <w:lang w:val="en-GB"/>
              </w:rPr>
              <w:t xml:space="preserve"> </w:t>
            </w:r>
            <w:r w:rsidR="007A2BC8" w:rsidRPr="0029408A">
              <w:rPr>
                <w:rFonts w:ascii="Times New Roman" w:eastAsia="Times New Roman" w:hAnsi="Times New Roman"/>
                <w:color w:val="000000"/>
                <w:sz w:val="24"/>
                <w:szCs w:val="24"/>
                <w:lang w:val="en-GB"/>
              </w:rPr>
              <w:t xml:space="preserve">This category will reflect the types of </w:t>
            </w:r>
            <w:r w:rsidR="004F3DBF" w:rsidRPr="0029408A">
              <w:rPr>
                <w:rFonts w:ascii="Times New Roman" w:eastAsia="Times New Roman" w:hAnsi="Times New Roman"/>
                <w:color w:val="000000"/>
                <w:sz w:val="24"/>
                <w:szCs w:val="24"/>
                <w:lang w:val="en-GB"/>
              </w:rPr>
              <w:t>loans</w:t>
            </w:r>
            <w:r w:rsidR="007A2BC8" w:rsidRPr="0029408A">
              <w:rPr>
                <w:rFonts w:ascii="Times New Roman" w:eastAsia="Times New Roman" w:hAnsi="Times New Roman"/>
                <w:color w:val="000000"/>
                <w:sz w:val="24"/>
                <w:szCs w:val="24"/>
                <w:lang w:val="en-GB"/>
              </w:rPr>
              <w:t xml:space="preserve"> according to the destination (for example: to supplement fixed and / or current assets, "overdraft" facilities, etc.).</w:t>
            </w:r>
          </w:p>
          <w:p w14:paraId="43375FE2"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p w14:paraId="3E6630E7" w14:textId="77777777" w:rsidR="004E6D8A" w:rsidRPr="0029408A" w:rsidRDefault="007A2BC8"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Signature</w:t>
            </w:r>
            <w:r w:rsidR="004E6D8A" w:rsidRPr="0029408A">
              <w:rPr>
                <w:rFonts w:ascii="Times New Roman" w:eastAsia="Times New Roman" w:hAnsi="Times New Roman"/>
                <w:b/>
                <w:bCs/>
                <w:color w:val="000000"/>
                <w:sz w:val="24"/>
                <w:szCs w:val="24"/>
                <w:lang w:val="en-GB"/>
              </w:rPr>
              <w:t>:</w:t>
            </w:r>
          </w:p>
          <w:p w14:paraId="716ED28D" w14:textId="77777777" w:rsidR="004E6D8A" w:rsidRPr="0029408A" w:rsidRDefault="00371EF8"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Head of the bank's executive body</w:t>
            </w:r>
            <w:r w:rsidR="004E6D8A" w:rsidRPr="0029408A">
              <w:rPr>
                <w:rFonts w:ascii="Times New Roman" w:eastAsia="Times New Roman" w:hAnsi="Times New Roman"/>
                <w:color w:val="000000"/>
                <w:sz w:val="24"/>
                <w:szCs w:val="24"/>
                <w:lang w:val="en-GB"/>
              </w:rPr>
              <w:t>____________________________</w:t>
            </w:r>
            <w:r w:rsidR="004E6D8A" w:rsidRPr="0029408A">
              <w:rPr>
                <w:rFonts w:ascii="Times New Roman" w:eastAsia="Times New Roman" w:hAnsi="Times New Roman"/>
                <w:b/>
                <w:bCs/>
                <w:color w:val="000000"/>
                <w:sz w:val="24"/>
                <w:szCs w:val="24"/>
                <w:lang w:val="en-GB"/>
              </w:rPr>
              <w:t>   </w:t>
            </w:r>
          </w:p>
          <w:p w14:paraId="439053BF"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r w:rsidR="00371EF8" w:rsidRPr="0029408A">
              <w:rPr>
                <w:rFonts w:ascii="Times New Roman" w:hAnsi="Times New Roman"/>
                <w:color w:val="000000"/>
                <w:sz w:val="24"/>
                <w:lang w:val="en-GB"/>
              </w:rPr>
              <w:t>name, surname, position</w:t>
            </w:r>
            <w:r w:rsidRPr="0029408A">
              <w:rPr>
                <w:rFonts w:ascii="Times New Roman" w:eastAsia="Times New Roman" w:hAnsi="Times New Roman"/>
                <w:color w:val="000000"/>
                <w:sz w:val="24"/>
                <w:szCs w:val="24"/>
                <w:lang w:val="en-GB"/>
              </w:rPr>
              <w:t>)</w:t>
            </w:r>
          </w:p>
          <w:p w14:paraId="12E9AF37"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p w14:paraId="29F388E1" w14:textId="77777777" w:rsidR="004E6D8A" w:rsidRPr="0029408A" w:rsidRDefault="00371EF8"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 xml:space="preserve">Date of preparation / where applicable, date of entry into force </w:t>
            </w:r>
            <w:r w:rsidRPr="0029408A">
              <w:rPr>
                <w:rFonts w:ascii="Times New Roman" w:eastAsia="Times New Roman" w:hAnsi="Times New Roman"/>
                <w:color w:val="000000"/>
                <w:sz w:val="24"/>
                <w:szCs w:val="24"/>
                <w:lang w:val="en-GB"/>
              </w:rPr>
              <w:t>“___” _____________</w:t>
            </w:r>
            <w:r w:rsidR="004E6D8A" w:rsidRPr="0029408A">
              <w:rPr>
                <w:rFonts w:ascii="Times New Roman" w:eastAsia="Times New Roman" w:hAnsi="Times New Roman"/>
                <w:color w:val="000000"/>
                <w:sz w:val="24"/>
                <w:szCs w:val="24"/>
                <w:lang w:val="en-GB"/>
              </w:rPr>
              <w:t>_.</w:t>
            </w:r>
          </w:p>
        </w:tc>
      </w:tr>
    </w:tbl>
    <w:p w14:paraId="1557554A" w14:textId="77777777" w:rsidR="00990D0E" w:rsidRPr="0029408A" w:rsidRDefault="004E6D8A" w:rsidP="00990D0E">
      <w:pPr>
        <w:spacing w:after="0" w:line="240" w:lineRule="auto"/>
        <w:ind w:firstLine="567"/>
        <w:jc w:val="both"/>
        <w:rPr>
          <w:rFonts w:ascii="Times New Roman" w:eastAsia="Times New Roman" w:hAnsi="Times New Roman"/>
          <w:i/>
          <w:iCs/>
          <w:color w:val="000000"/>
          <w:sz w:val="24"/>
          <w:szCs w:val="24"/>
          <w:lang w:val="en-GB"/>
        </w:rPr>
      </w:pPr>
      <w:r w:rsidRPr="0029408A">
        <w:rPr>
          <w:rFonts w:ascii="Times New Roman" w:eastAsia="Times New Roman" w:hAnsi="Times New Roman"/>
          <w:color w:val="000000"/>
          <w:sz w:val="24"/>
          <w:szCs w:val="24"/>
          <w:lang w:val="en-GB"/>
        </w:rPr>
        <w:t> </w:t>
      </w:r>
    </w:p>
    <w:p w14:paraId="526FB5D9" w14:textId="77777777" w:rsidR="003D019F" w:rsidRPr="0029408A" w:rsidRDefault="004E6D8A">
      <w:pPr>
        <w:rPr>
          <w:rFonts w:ascii="Times New Roman" w:hAnsi="Times New Roman"/>
          <w:b/>
          <w:bCs/>
          <w:color w:val="000000"/>
          <w:sz w:val="24"/>
          <w:lang w:val="en-GB"/>
        </w:rPr>
      </w:pPr>
      <w:r w:rsidRPr="0029408A">
        <w:rPr>
          <w:rFonts w:ascii="Times New Roman" w:eastAsia="Times New Roman" w:hAnsi="Times New Roman"/>
          <w:color w:val="000000"/>
          <w:sz w:val="24"/>
          <w:szCs w:val="24"/>
          <w:lang w:val="en-GB"/>
        </w:rPr>
        <w:t>   </w:t>
      </w:r>
    </w:p>
    <w:p w14:paraId="22A027FD" w14:textId="77777777" w:rsidR="00371EF8" w:rsidRPr="0029408A" w:rsidRDefault="00371EF8">
      <w:pPr>
        <w:rPr>
          <w:rFonts w:ascii="Times New Roman" w:hAnsi="Times New Roman"/>
          <w:b/>
          <w:bCs/>
          <w:color w:val="000000"/>
          <w:sz w:val="24"/>
          <w:lang w:val="en-GB"/>
        </w:rPr>
      </w:pPr>
    </w:p>
    <w:p w14:paraId="752AECCC" w14:textId="77777777" w:rsidR="00371EF8" w:rsidRPr="0029408A" w:rsidRDefault="00371EF8">
      <w:pPr>
        <w:rPr>
          <w:rFonts w:ascii="Times New Roman" w:hAnsi="Times New Roman"/>
          <w:b/>
          <w:bCs/>
          <w:color w:val="000000"/>
          <w:sz w:val="24"/>
          <w:lang w:val="en-GB"/>
        </w:rPr>
      </w:pPr>
    </w:p>
    <w:p w14:paraId="0ACB50CA" w14:textId="77777777" w:rsidR="00371EF8" w:rsidRPr="0029408A" w:rsidRDefault="00371EF8">
      <w:pPr>
        <w:rPr>
          <w:rFonts w:ascii="Times New Roman" w:eastAsia="Times New Roman" w:hAnsi="Times New Roman"/>
          <w:color w:val="000000"/>
          <w:sz w:val="24"/>
          <w:szCs w:val="24"/>
          <w:lang w:val="en-GB"/>
        </w:rPr>
      </w:pPr>
    </w:p>
    <w:tbl>
      <w:tblPr>
        <w:tblW w:w="4500" w:type="pct"/>
        <w:jc w:val="center"/>
        <w:tblCellMar>
          <w:top w:w="15" w:type="dxa"/>
          <w:left w:w="15" w:type="dxa"/>
          <w:bottom w:w="15" w:type="dxa"/>
          <w:right w:w="15" w:type="dxa"/>
        </w:tblCellMar>
        <w:tblLook w:val="04A0" w:firstRow="1" w:lastRow="0" w:firstColumn="1" w:lastColumn="0" w:noHBand="0" w:noVBand="1"/>
      </w:tblPr>
      <w:tblGrid>
        <w:gridCol w:w="450"/>
        <w:gridCol w:w="1624"/>
        <w:gridCol w:w="923"/>
        <w:gridCol w:w="1573"/>
        <w:gridCol w:w="1568"/>
        <w:gridCol w:w="1648"/>
        <w:gridCol w:w="2540"/>
        <w:gridCol w:w="1889"/>
      </w:tblGrid>
      <w:tr w:rsidR="000F2B3E" w:rsidRPr="0029408A" w14:paraId="32A86D6E" w14:textId="77777777" w:rsidTr="004E6D8A">
        <w:trPr>
          <w:jc w:val="center"/>
        </w:trPr>
        <w:tc>
          <w:tcPr>
            <w:tcW w:w="0" w:type="auto"/>
            <w:gridSpan w:val="8"/>
            <w:tcBorders>
              <w:top w:val="nil"/>
              <w:left w:val="nil"/>
              <w:bottom w:val="nil"/>
              <w:right w:val="nil"/>
            </w:tcBorders>
            <w:tcMar>
              <w:top w:w="24" w:type="dxa"/>
              <w:left w:w="48" w:type="dxa"/>
              <w:bottom w:w="24" w:type="dxa"/>
              <w:right w:w="48" w:type="dxa"/>
            </w:tcMar>
            <w:hideMark/>
          </w:tcPr>
          <w:p w14:paraId="34E70078" w14:textId="77777777" w:rsidR="00815287" w:rsidRPr="0029408A" w:rsidRDefault="00815287" w:rsidP="00815287">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lastRenderedPageBreak/>
              <w:t xml:space="preserve">Annex No. 6 </w:t>
            </w:r>
          </w:p>
          <w:p w14:paraId="1D09C015" w14:textId="77777777" w:rsidR="00815287" w:rsidRPr="0029408A" w:rsidRDefault="00815287" w:rsidP="00815287">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to the </w:t>
            </w:r>
            <w:r w:rsidRPr="0029408A">
              <w:rPr>
                <w:rFonts w:ascii="Times New Roman" w:eastAsia="Times New Roman" w:hAnsi="Times New Roman"/>
                <w:bCs/>
                <w:color w:val="000000"/>
                <w:sz w:val="24"/>
                <w:szCs w:val="24"/>
                <w:lang w:val="en-GB"/>
              </w:rPr>
              <w:t>Regulation on the requirements for publication</w:t>
            </w:r>
          </w:p>
          <w:p w14:paraId="1A1A99DB" w14:textId="77777777" w:rsidR="003D019F" w:rsidRPr="0029408A" w:rsidRDefault="00815287" w:rsidP="00815287">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bCs/>
                <w:color w:val="000000"/>
                <w:sz w:val="24"/>
                <w:szCs w:val="24"/>
                <w:lang w:val="en-GB"/>
              </w:rPr>
              <w:t>of information by banks</w:t>
            </w:r>
            <w:r w:rsidR="00FF5300" w:rsidRPr="0029408A">
              <w:rPr>
                <w:rFonts w:ascii="Times New Roman" w:eastAsia="Times New Roman" w:hAnsi="Times New Roman"/>
                <w:color w:val="000000"/>
                <w:sz w:val="24"/>
                <w:szCs w:val="24"/>
                <w:lang w:val="en-GB" w:eastAsia="ru-RU"/>
              </w:rPr>
              <w:t xml:space="preserve"> </w:t>
            </w:r>
          </w:p>
          <w:p w14:paraId="098D3131" w14:textId="77777777" w:rsidR="00EF0645" w:rsidRPr="0029408A" w:rsidRDefault="00EF0645" w:rsidP="001F03B7">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 xml:space="preserve">INFORMATION </w:t>
            </w:r>
          </w:p>
          <w:p w14:paraId="08A4D4FC" w14:textId="77777777" w:rsidR="001F03B7" w:rsidRPr="0029408A" w:rsidRDefault="00EF0645" w:rsidP="001F03B7">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on members of the board and the executive body</w:t>
            </w:r>
          </w:p>
          <w:p w14:paraId="368B7328" w14:textId="77777777" w:rsidR="004E6D8A" w:rsidRPr="0029408A" w:rsidRDefault="004E6D8A"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 xml:space="preserve">  </w:t>
            </w:r>
            <w:r w:rsidRPr="0029408A">
              <w:rPr>
                <w:rFonts w:ascii="Times New Roman" w:eastAsia="Times New Roman" w:hAnsi="Times New Roman"/>
                <w:color w:val="000000"/>
                <w:sz w:val="24"/>
                <w:szCs w:val="24"/>
                <w:lang w:val="en-GB"/>
              </w:rPr>
              <w:t>_________________________________</w:t>
            </w:r>
          </w:p>
          <w:p w14:paraId="1ECD946F" w14:textId="77777777" w:rsidR="004E6D8A" w:rsidRPr="0029408A" w:rsidRDefault="004E6D8A" w:rsidP="004E6D8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r w:rsidR="00EF0645" w:rsidRPr="0029408A">
              <w:rPr>
                <w:rFonts w:ascii="Times New Roman" w:eastAsia="Times New Roman" w:hAnsi="Times New Roman"/>
                <w:color w:val="000000"/>
                <w:sz w:val="24"/>
                <w:szCs w:val="24"/>
                <w:lang w:val="en-GB"/>
              </w:rPr>
              <w:t>the name of the bank</w:t>
            </w:r>
            <w:r w:rsidRPr="0029408A">
              <w:rPr>
                <w:rFonts w:ascii="Times New Roman" w:eastAsia="Times New Roman" w:hAnsi="Times New Roman"/>
                <w:color w:val="000000"/>
                <w:sz w:val="24"/>
                <w:szCs w:val="24"/>
                <w:lang w:val="en-GB"/>
              </w:rPr>
              <w:t>)</w:t>
            </w:r>
          </w:p>
          <w:p w14:paraId="4FC42411"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tc>
      </w:tr>
      <w:tr w:rsidR="006A2811" w:rsidRPr="0029408A" w14:paraId="62645509" w14:textId="77777777" w:rsidTr="0063287C">
        <w:trPr>
          <w:jc w:val="center"/>
        </w:trPr>
        <w:tc>
          <w:tcPr>
            <w:tcW w:w="184" w:type="pc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27AD2DB" w14:textId="77777777" w:rsidR="004E6D8A" w:rsidRPr="0029408A" w:rsidRDefault="00EF0645" w:rsidP="00C4692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No</w:t>
            </w:r>
            <w:r w:rsidR="004E6D8A" w:rsidRPr="0029408A">
              <w:rPr>
                <w:rFonts w:ascii="Times New Roman" w:eastAsia="Times New Roman" w:hAnsi="Times New Roman"/>
                <w:b/>
                <w:bCs/>
                <w:color w:val="000000"/>
                <w:sz w:val="24"/>
                <w:szCs w:val="24"/>
                <w:lang w:val="en-GB"/>
              </w:rPr>
              <w:t>.</w:t>
            </w:r>
            <w:r w:rsidR="004E6D8A" w:rsidRPr="0029408A">
              <w:rPr>
                <w:rFonts w:ascii="Times New Roman" w:eastAsia="Times New Roman" w:hAnsi="Times New Roman"/>
                <w:b/>
                <w:bCs/>
                <w:color w:val="000000"/>
                <w:sz w:val="24"/>
                <w:szCs w:val="24"/>
                <w:lang w:val="en-GB"/>
              </w:rPr>
              <w:br/>
            </w:r>
            <w:proofErr w:type="spellStart"/>
            <w:r w:rsidR="004E6D8A" w:rsidRPr="0029408A">
              <w:rPr>
                <w:rFonts w:ascii="Times New Roman" w:eastAsia="Times New Roman" w:hAnsi="Times New Roman"/>
                <w:b/>
                <w:bCs/>
                <w:color w:val="000000"/>
                <w:sz w:val="24"/>
                <w:szCs w:val="24"/>
                <w:lang w:val="en-GB"/>
              </w:rPr>
              <w:t>crt</w:t>
            </w:r>
            <w:proofErr w:type="spellEnd"/>
            <w:r w:rsidR="004E6D8A" w:rsidRPr="0029408A">
              <w:rPr>
                <w:rFonts w:ascii="Times New Roman" w:eastAsia="Times New Roman" w:hAnsi="Times New Roman"/>
                <w:b/>
                <w:bCs/>
                <w:color w:val="000000"/>
                <w:sz w:val="24"/>
                <w:szCs w:val="24"/>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CF7D062" w14:textId="77777777" w:rsidR="004E6D8A" w:rsidRPr="0029408A" w:rsidRDefault="00EF0645" w:rsidP="00C4692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Name, Surname</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A021B9F" w14:textId="77777777" w:rsidR="004E6D8A" w:rsidRPr="0029408A" w:rsidRDefault="00EF0645" w:rsidP="00C4692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Position</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DEA48FB" w14:textId="77777777" w:rsidR="004E6D8A" w:rsidRPr="0029408A" w:rsidRDefault="006A2811" w:rsidP="00C4692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Date of approval by the National Bank</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6FFE6AB8" w14:textId="77777777" w:rsidR="004E6D8A" w:rsidRPr="0029408A" w:rsidRDefault="006A2811" w:rsidP="00C4692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 xml:space="preserve">Position (s) held in companies </w:t>
            </w:r>
            <w:r w:rsidR="004E6D8A" w:rsidRPr="0029408A">
              <w:rPr>
                <w:rFonts w:ascii="Times New Roman" w:eastAsia="Times New Roman" w:hAnsi="Times New Roman"/>
                <w:b/>
                <w:bCs/>
                <w:color w:val="000000"/>
                <w:sz w:val="24"/>
                <w:szCs w:val="24"/>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E511520" w14:textId="77777777" w:rsidR="004E6D8A" w:rsidRPr="0029408A" w:rsidRDefault="006A2811" w:rsidP="00C4692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Work experience in the last 5 years</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57A41EE7" w14:textId="77777777" w:rsidR="004E6D8A" w:rsidRPr="0029408A" w:rsidRDefault="006A2811" w:rsidP="00C4692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Studies (university, postgraduate, training courses in the last 5 years)</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E425930" w14:textId="77777777" w:rsidR="004E6D8A" w:rsidRPr="0029408A" w:rsidRDefault="006A2811" w:rsidP="00C4692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color w:val="000000"/>
                <w:sz w:val="24"/>
                <w:szCs w:val="24"/>
                <w:lang w:val="en-GB"/>
              </w:rPr>
              <w:t>Qualified holding held in the bank's share capital (%)</w:t>
            </w:r>
          </w:p>
        </w:tc>
      </w:tr>
      <w:tr w:rsidR="006A2811" w:rsidRPr="0029408A" w14:paraId="7D6F8766"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F28DD" w14:textId="77777777" w:rsidR="004E6D8A" w:rsidRPr="0029408A" w:rsidRDefault="004E6D8A" w:rsidP="00C4692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F8405" w14:textId="77777777" w:rsidR="004E6D8A" w:rsidRPr="0029408A" w:rsidRDefault="004E6D8A" w:rsidP="00C4692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89692" w14:textId="77777777" w:rsidR="004E6D8A" w:rsidRPr="0029408A" w:rsidRDefault="004E6D8A" w:rsidP="00C4692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54850" w14:textId="77777777" w:rsidR="004E6D8A" w:rsidRPr="0029408A" w:rsidRDefault="004E6D8A" w:rsidP="00C4692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406D8" w14:textId="77777777" w:rsidR="004E6D8A" w:rsidRPr="0029408A" w:rsidRDefault="004E6D8A" w:rsidP="00C4692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767E1" w14:textId="77777777" w:rsidR="004E6D8A" w:rsidRPr="0029408A" w:rsidRDefault="004E6D8A" w:rsidP="00C4692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913A7" w14:textId="77777777" w:rsidR="004E6D8A" w:rsidRPr="0029408A" w:rsidRDefault="004E6D8A" w:rsidP="00C4692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3E39B" w14:textId="77777777" w:rsidR="004E6D8A" w:rsidRPr="0029408A" w:rsidRDefault="004E6D8A" w:rsidP="00C4692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8</w:t>
            </w:r>
          </w:p>
        </w:tc>
      </w:tr>
      <w:tr w:rsidR="006A2811" w:rsidRPr="0029408A" w14:paraId="62AE5059"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A48F2" w14:textId="77777777" w:rsidR="004E6D8A" w:rsidRPr="0029408A" w:rsidRDefault="004E6D8A" w:rsidP="00C4692A">
            <w:pPr>
              <w:spacing w:after="0" w:line="240" w:lineRule="auto"/>
              <w:jc w:val="center"/>
              <w:rPr>
                <w:rFonts w:ascii="Times New Roman" w:eastAsia="Times New Roman" w:hAnsi="Times New Roman"/>
                <w:b/>
                <w:bCs/>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D2D2E" w14:textId="77777777" w:rsidR="004E6D8A" w:rsidRPr="0029408A" w:rsidRDefault="00511258" w:rsidP="00C4692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Members of the bank's board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AF934"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72246"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A9DDC"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6F73D"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78B72" w14:textId="77777777" w:rsidR="004E6D8A" w:rsidRPr="0029408A" w:rsidRDefault="00FF7EDA" w:rsidP="00C4692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D554E"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r>
      <w:tr w:rsidR="006A2811" w:rsidRPr="0029408A" w14:paraId="49402F31"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D5D51" w14:textId="77777777" w:rsidR="004E6D8A" w:rsidRPr="0029408A" w:rsidRDefault="004E6D8A" w:rsidP="00C4692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1D759" w14:textId="77777777" w:rsidR="004E6D8A" w:rsidRPr="0029408A" w:rsidRDefault="004E6D8A" w:rsidP="00C4692A">
            <w:pPr>
              <w:spacing w:after="0" w:line="240" w:lineRule="auto"/>
              <w:jc w:val="center"/>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F52E3"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BBB56"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EA928"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C5857"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608A1"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5C840"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r>
      <w:tr w:rsidR="006A2811" w:rsidRPr="0029408A" w14:paraId="57D5DD27"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F52E0" w14:textId="77777777" w:rsidR="004E6D8A" w:rsidRPr="0029408A" w:rsidRDefault="004E6D8A" w:rsidP="00C4692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B40AD" w14:textId="77777777" w:rsidR="004E6D8A" w:rsidRPr="0029408A" w:rsidRDefault="004E6D8A" w:rsidP="00C4692A">
            <w:pPr>
              <w:spacing w:after="0" w:line="240" w:lineRule="auto"/>
              <w:jc w:val="center"/>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D1CDD"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93955"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92CB3"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4990F"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0999B"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1C240"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r>
      <w:tr w:rsidR="006A2811" w:rsidRPr="0029408A" w14:paraId="227EBC4C"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1FB15" w14:textId="77777777" w:rsidR="004E6D8A" w:rsidRPr="0029408A" w:rsidRDefault="004E6D8A" w:rsidP="00C4692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A2D44" w14:textId="77777777" w:rsidR="004E6D8A" w:rsidRPr="0029408A" w:rsidRDefault="004E6D8A" w:rsidP="00C4692A">
            <w:pPr>
              <w:spacing w:after="0" w:line="240" w:lineRule="auto"/>
              <w:jc w:val="center"/>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78556"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302FE"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6A071"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5E48B"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D8C00"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0BE3C"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r>
      <w:tr w:rsidR="006A2811" w:rsidRPr="0029408A" w14:paraId="583E289D"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A616F"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8D782" w14:textId="77777777" w:rsidR="004E6D8A" w:rsidRPr="0029408A" w:rsidRDefault="00511258" w:rsidP="00C4692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Members of the executive body of the bank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07D8E"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D76A5"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D6B6A"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E8253"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A6233"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61346"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r>
      <w:tr w:rsidR="006A2811" w:rsidRPr="0029408A" w14:paraId="7C10DEF8"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8F41D" w14:textId="77777777" w:rsidR="004E6D8A" w:rsidRPr="0029408A" w:rsidRDefault="004E6D8A" w:rsidP="00C4692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9D7A5" w14:textId="77777777" w:rsidR="004E6D8A" w:rsidRPr="0029408A" w:rsidRDefault="004E6D8A" w:rsidP="00C4692A">
            <w:pPr>
              <w:spacing w:after="0" w:line="240" w:lineRule="auto"/>
              <w:jc w:val="center"/>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2D05A"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FC664"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ABEEC"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B4059"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05D4A"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7BA3E"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r>
      <w:tr w:rsidR="006A2811" w:rsidRPr="0029408A" w14:paraId="4E15148E"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6D970" w14:textId="77777777" w:rsidR="004E6D8A" w:rsidRPr="0029408A" w:rsidRDefault="004E6D8A" w:rsidP="00C4692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07593" w14:textId="77777777" w:rsidR="004E6D8A" w:rsidRPr="0029408A" w:rsidRDefault="004E6D8A" w:rsidP="00C4692A">
            <w:pPr>
              <w:spacing w:after="0" w:line="240" w:lineRule="auto"/>
              <w:jc w:val="center"/>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B8B13"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34FB6"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5E3F7"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75552"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0F56A"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3E06B"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r>
      <w:tr w:rsidR="006A2811" w:rsidRPr="0029408A" w14:paraId="1189F2B1"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26175" w14:textId="77777777" w:rsidR="004E6D8A" w:rsidRPr="0029408A" w:rsidRDefault="004E6D8A" w:rsidP="00C4692A">
            <w:pPr>
              <w:spacing w:after="0" w:line="240" w:lineRule="auto"/>
              <w:jc w:val="cente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17F1F" w14:textId="77777777" w:rsidR="004E6D8A" w:rsidRPr="0029408A" w:rsidRDefault="004E6D8A" w:rsidP="00C4692A">
            <w:pPr>
              <w:spacing w:after="0" w:line="240" w:lineRule="auto"/>
              <w:jc w:val="center"/>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6BC41"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0C3FC"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B6122"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A0CE0"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CB7B4"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0556D" w14:textId="77777777" w:rsidR="004E6D8A" w:rsidRPr="0029408A" w:rsidRDefault="004E6D8A" w:rsidP="00C4692A">
            <w:pPr>
              <w:spacing w:after="0" w:line="240" w:lineRule="auto"/>
              <w:rPr>
                <w:rFonts w:ascii="Times New Roman" w:eastAsia="Times New Roman" w:hAnsi="Times New Roman"/>
                <w:color w:val="000000"/>
                <w:sz w:val="24"/>
                <w:szCs w:val="24"/>
                <w:lang w:val="en-GB"/>
              </w:rPr>
            </w:pPr>
          </w:p>
        </w:tc>
      </w:tr>
      <w:tr w:rsidR="006A2811" w:rsidRPr="0029408A" w14:paraId="643DA5EF" w14:textId="77777777" w:rsidTr="004E6D8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03DB3"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BEE3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EAD4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ACCB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C8AB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20FE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8FC1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AE84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17B453D3" w14:textId="77777777" w:rsidTr="00C4692A">
        <w:trPr>
          <w:trHeight w:val="2389"/>
          <w:jc w:val="center"/>
        </w:trPr>
        <w:tc>
          <w:tcPr>
            <w:tcW w:w="0" w:type="auto"/>
            <w:gridSpan w:val="8"/>
            <w:tcBorders>
              <w:top w:val="nil"/>
              <w:left w:val="nil"/>
              <w:bottom w:val="nil"/>
              <w:right w:val="nil"/>
            </w:tcBorders>
            <w:tcMar>
              <w:top w:w="24" w:type="dxa"/>
              <w:left w:w="48" w:type="dxa"/>
              <w:bottom w:w="24" w:type="dxa"/>
              <w:right w:w="48" w:type="dxa"/>
            </w:tcMar>
            <w:hideMark/>
          </w:tcPr>
          <w:p w14:paraId="2C13C03B" w14:textId="77777777" w:rsidR="00E941A1" w:rsidRPr="0029408A" w:rsidRDefault="00C4692A" w:rsidP="00C4692A">
            <w:pPr>
              <w:spacing w:after="0" w:line="240" w:lineRule="auto"/>
              <w:jc w:val="both"/>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lastRenderedPageBreak/>
              <w:t xml:space="preserve">         </w:t>
            </w:r>
          </w:p>
          <w:p w14:paraId="0CC25B52" w14:textId="77777777" w:rsidR="004E6D8A" w:rsidRPr="0029408A" w:rsidRDefault="00C4692A" w:rsidP="00C4692A">
            <w:pPr>
              <w:spacing w:after="0" w:line="240" w:lineRule="auto"/>
              <w:jc w:val="both"/>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 xml:space="preserve"> </w:t>
            </w:r>
            <w:r w:rsidR="00E941A1" w:rsidRPr="0029408A">
              <w:rPr>
                <w:rFonts w:ascii="Times New Roman" w:eastAsia="Times New Roman" w:hAnsi="Times New Roman"/>
                <w:b/>
                <w:bCs/>
                <w:color w:val="000000"/>
                <w:sz w:val="24"/>
                <w:szCs w:val="24"/>
                <w:lang w:val="en-GB"/>
              </w:rPr>
              <w:t xml:space="preserve">         </w:t>
            </w:r>
            <w:r w:rsidR="00AF40E3" w:rsidRPr="0029408A">
              <w:rPr>
                <w:rFonts w:ascii="Times New Roman" w:eastAsia="Times New Roman" w:hAnsi="Times New Roman"/>
                <w:b/>
                <w:bCs/>
                <w:color w:val="000000"/>
                <w:sz w:val="24"/>
                <w:szCs w:val="24"/>
                <w:lang w:val="en-GB"/>
              </w:rPr>
              <w:t xml:space="preserve">NOTE: </w:t>
            </w:r>
            <w:r w:rsidR="00AF40E3" w:rsidRPr="0029408A">
              <w:rPr>
                <w:rFonts w:ascii="Times New Roman" w:eastAsia="Times New Roman" w:hAnsi="Times New Roman"/>
                <w:bCs/>
                <w:color w:val="000000"/>
                <w:sz w:val="24"/>
                <w:szCs w:val="24"/>
                <w:lang w:val="en-GB"/>
              </w:rPr>
              <w:t>The information is published in accordance with the provisions of the Regulation on the requirements for publication of information by banks.</w:t>
            </w:r>
          </w:p>
          <w:p w14:paraId="173621FF" w14:textId="77777777" w:rsidR="004E6D8A" w:rsidRPr="0029408A" w:rsidRDefault="004E6D8A" w:rsidP="00C4692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 </w:t>
            </w:r>
            <w:r w:rsidR="00AF40E3" w:rsidRPr="0029408A">
              <w:rPr>
                <w:rFonts w:ascii="Times New Roman" w:eastAsia="Times New Roman" w:hAnsi="Times New Roman"/>
                <w:color w:val="000000"/>
                <w:sz w:val="24"/>
                <w:szCs w:val="24"/>
                <w:lang w:val="en-GB"/>
              </w:rPr>
              <w:t>In the event that members of the management body hold several positions simultaneously, including management, all positions held in companies other than the bank will be mentioned.</w:t>
            </w:r>
          </w:p>
          <w:p w14:paraId="12C2F8E0" w14:textId="77777777" w:rsidR="00E941A1" w:rsidRPr="0029408A" w:rsidRDefault="00E941A1" w:rsidP="004E6D8A">
            <w:pPr>
              <w:spacing w:after="0" w:line="240" w:lineRule="auto"/>
              <w:ind w:firstLine="567"/>
              <w:jc w:val="both"/>
              <w:rPr>
                <w:rFonts w:ascii="Times New Roman" w:eastAsia="Times New Roman" w:hAnsi="Times New Roman"/>
                <w:b/>
                <w:bCs/>
                <w:color w:val="000000"/>
                <w:sz w:val="24"/>
                <w:szCs w:val="24"/>
                <w:lang w:val="en-GB"/>
              </w:rPr>
            </w:pPr>
          </w:p>
          <w:p w14:paraId="5CD2568E" w14:textId="77777777" w:rsidR="00E941A1" w:rsidRPr="0029408A" w:rsidRDefault="00E941A1" w:rsidP="004E6D8A">
            <w:pPr>
              <w:spacing w:after="0" w:line="240" w:lineRule="auto"/>
              <w:ind w:firstLine="567"/>
              <w:jc w:val="both"/>
              <w:rPr>
                <w:rFonts w:ascii="Times New Roman" w:eastAsia="Times New Roman" w:hAnsi="Times New Roman"/>
                <w:b/>
                <w:bCs/>
                <w:color w:val="000000"/>
                <w:sz w:val="24"/>
                <w:szCs w:val="24"/>
                <w:lang w:val="en-GB"/>
              </w:rPr>
            </w:pPr>
          </w:p>
          <w:p w14:paraId="0C4F73BC" w14:textId="77777777" w:rsidR="00E941A1" w:rsidRPr="0029408A" w:rsidRDefault="00E941A1" w:rsidP="004E6D8A">
            <w:pPr>
              <w:spacing w:after="0" w:line="240" w:lineRule="auto"/>
              <w:ind w:firstLine="567"/>
              <w:jc w:val="both"/>
              <w:rPr>
                <w:rFonts w:ascii="Times New Roman" w:eastAsia="Times New Roman" w:hAnsi="Times New Roman"/>
                <w:b/>
                <w:bCs/>
                <w:color w:val="000000"/>
                <w:sz w:val="24"/>
                <w:szCs w:val="24"/>
                <w:lang w:val="en-GB"/>
              </w:rPr>
            </w:pPr>
          </w:p>
          <w:p w14:paraId="5F17A738" w14:textId="77777777" w:rsidR="004E6D8A" w:rsidRPr="0029408A" w:rsidRDefault="00C4692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Signature</w:t>
            </w:r>
            <w:r w:rsidR="004E6D8A" w:rsidRPr="0029408A">
              <w:rPr>
                <w:rFonts w:ascii="Times New Roman" w:eastAsia="Times New Roman" w:hAnsi="Times New Roman"/>
                <w:b/>
                <w:bCs/>
                <w:color w:val="000000"/>
                <w:sz w:val="24"/>
                <w:szCs w:val="24"/>
                <w:lang w:val="en-GB"/>
              </w:rPr>
              <w:t>:</w:t>
            </w:r>
          </w:p>
          <w:p w14:paraId="29770AD4" w14:textId="77777777" w:rsidR="00E941A1" w:rsidRPr="0029408A" w:rsidRDefault="00E941A1" w:rsidP="004E6D8A">
            <w:pPr>
              <w:spacing w:after="0" w:line="240" w:lineRule="auto"/>
              <w:ind w:firstLine="567"/>
              <w:jc w:val="both"/>
              <w:rPr>
                <w:rFonts w:ascii="Times New Roman" w:eastAsia="Times New Roman" w:hAnsi="Times New Roman"/>
                <w:b/>
                <w:bCs/>
                <w:color w:val="000000"/>
                <w:sz w:val="24"/>
                <w:szCs w:val="24"/>
                <w:lang w:val="en-GB"/>
              </w:rPr>
            </w:pPr>
          </w:p>
          <w:p w14:paraId="56E727AD" w14:textId="77777777" w:rsidR="004E6D8A" w:rsidRPr="0029408A" w:rsidRDefault="00C4692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Head of the bank's executive body</w:t>
            </w:r>
            <w:r w:rsidRPr="0029408A">
              <w:rPr>
                <w:rFonts w:ascii="Times New Roman" w:eastAsia="Times New Roman" w:hAnsi="Times New Roman"/>
                <w:color w:val="000000"/>
                <w:sz w:val="24"/>
                <w:szCs w:val="24"/>
                <w:lang w:val="en-GB"/>
              </w:rPr>
              <w:t xml:space="preserve"> </w:t>
            </w:r>
            <w:r w:rsidR="004E6D8A" w:rsidRPr="0029408A">
              <w:rPr>
                <w:rFonts w:ascii="Times New Roman" w:eastAsia="Times New Roman" w:hAnsi="Times New Roman"/>
                <w:color w:val="000000"/>
                <w:sz w:val="24"/>
                <w:szCs w:val="24"/>
                <w:lang w:val="en-GB"/>
              </w:rPr>
              <w:t>___________________________</w:t>
            </w:r>
            <w:r w:rsidR="004E6D8A" w:rsidRPr="0029408A">
              <w:rPr>
                <w:rFonts w:ascii="Times New Roman" w:eastAsia="Times New Roman" w:hAnsi="Times New Roman"/>
                <w:b/>
                <w:bCs/>
                <w:color w:val="000000"/>
                <w:sz w:val="24"/>
                <w:szCs w:val="24"/>
                <w:lang w:val="en-GB"/>
              </w:rPr>
              <w:t xml:space="preserve">      </w:t>
            </w:r>
          </w:p>
          <w:p w14:paraId="7CEA0EAE"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r w:rsidR="00E941A1" w:rsidRPr="0029408A">
              <w:rPr>
                <w:rFonts w:ascii="Times New Roman" w:eastAsia="Times New Roman" w:hAnsi="Times New Roman"/>
                <w:color w:val="000000"/>
                <w:sz w:val="24"/>
                <w:szCs w:val="24"/>
                <w:lang w:val="en-GB"/>
              </w:rPr>
              <w:t>name, surname, position</w:t>
            </w:r>
            <w:r w:rsidRPr="0029408A">
              <w:rPr>
                <w:rFonts w:ascii="Times New Roman" w:eastAsia="Times New Roman" w:hAnsi="Times New Roman"/>
                <w:color w:val="000000"/>
                <w:sz w:val="24"/>
                <w:szCs w:val="24"/>
                <w:lang w:val="en-GB"/>
              </w:rPr>
              <w:t>)</w:t>
            </w:r>
          </w:p>
          <w:p w14:paraId="3A422C90" w14:textId="77777777" w:rsidR="004E6D8A" w:rsidRPr="0029408A" w:rsidRDefault="00E941A1" w:rsidP="00C4692A">
            <w:pPr>
              <w:spacing w:after="0" w:line="240" w:lineRule="auto"/>
              <w:jc w:val="both"/>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 xml:space="preserve">Date of preparation </w:t>
            </w:r>
            <w:r w:rsidR="00F76429" w:rsidRPr="0029408A">
              <w:rPr>
                <w:rFonts w:ascii="Times New Roman" w:eastAsia="Times New Roman" w:hAnsi="Times New Roman"/>
                <w:b/>
                <w:bCs/>
                <w:color w:val="000000"/>
                <w:sz w:val="24"/>
                <w:szCs w:val="24"/>
                <w:lang w:val="en-GB"/>
              </w:rPr>
              <w:t>__</w:t>
            </w:r>
            <w:r w:rsidR="00F76429" w:rsidRPr="0029408A">
              <w:rPr>
                <w:rFonts w:ascii="Times New Roman" w:eastAsia="Times New Roman" w:hAnsi="Times New Roman"/>
                <w:color w:val="000000"/>
                <w:sz w:val="24"/>
                <w:szCs w:val="24"/>
                <w:lang w:val="en-GB"/>
              </w:rPr>
              <w:t>__________________________</w:t>
            </w:r>
            <w:r w:rsidR="00F76429" w:rsidRPr="0029408A">
              <w:rPr>
                <w:rFonts w:ascii="Times New Roman" w:eastAsia="Times New Roman" w:hAnsi="Times New Roman"/>
                <w:b/>
                <w:bCs/>
                <w:color w:val="000000"/>
                <w:sz w:val="24"/>
                <w:szCs w:val="24"/>
                <w:lang w:val="en-GB"/>
              </w:rPr>
              <w:t>___</w:t>
            </w:r>
            <w:r w:rsidR="004E6D8A" w:rsidRPr="0029408A">
              <w:rPr>
                <w:rFonts w:ascii="Times New Roman" w:eastAsia="Times New Roman" w:hAnsi="Times New Roman"/>
                <w:color w:val="000000"/>
                <w:sz w:val="24"/>
                <w:szCs w:val="24"/>
                <w:lang w:val="en-GB"/>
              </w:rPr>
              <w:t>________________</w:t>
            </w:r>
          </w:p>
        </w:tc>
      </w:tr>
      <w:tr w:rsidR="00C4692A" w:rsidRPr="0029408A" w14:paraId="3CFC6D14" w14:textId="77777777" w:rsidTr="00C4692A">
        <w:trPr>
          <w:trHeight w:val="2389"/>
          <w:jc w:val="center"/>
        </w:trPr>
        <w:tc>
          <w:tcPr>
            <w:tcW w:w="0" w:type="auto"/>
            <w:gridSpan w:val="8"/>
            <w:tcBorders>
              <w:top w:val="nil"/>
              <w:left w:val="nil"/>
              <w:bottom w:val="nil"/>
              <w:right w:val="nil"/>
            </w:tcBorders>
            <w:tcMar>
              <w:top w:w="24" w:type="dxa"/>
              <w:left w:w="48" w:type="dxa"/>
              <w:bottom w:w="24" w:type="dxa"/>
              <w:right w:w="48" w:type="dxa"/>
            </w:tcMar>
          </w:tcPr>
          <w:p w14:paraId="7C009260" w14:textId="77777777" w:rsidR="00C4692A" w:rsidRPr="0029408A" w:rsidRDefault="00C4692A" w:rsidP="00C4692A">
            <w:pPr>
              <w:spacing w:after="0" w:line="240" w:lineRule="auto"/>
              <w:jc w:val="both"/>
              <w:rPr>
                <w:rFonts w:ascii="Times New Roman" w:eastAsia="Times New Roman" w:hAnsi="Times New Roman"/>
                <w:b/>
                <w:bCs/>
                <w:color w:val="000000"/>
                <w:sz w:val="24"/>
                <w:szCs w:val="24"/>
                <w:lang w:val="en-GB"/>
              </w:rPr>
            </w:pPr>
          </w:p>
        </w:tc>
      </w:tr>
    </w:tbl>
    <w:p w14:paraId="3AF16A03" w14:textId="77777777" w:rsidR="00AA4EA2" w:rsidRPr="0029408A" w:rsidRDefault="00AA4EA2">
      <w:pPr>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br w:type="page"/>
      </w:r>
    </w:p>
    <w:tbl>
      <w:tblPr>
        <w:tblW w:w="4500" w:type="pct"/>
        <w:jc w:val="center"/>
        <w:tblCellMar>
          <w:top w:w="15" w:type="dxa"/>
          <w:left w:w="15" w:type="dxa"/>
          <w:bottom w:w="15" w:type="dxa"/>
          <w:right w:w="15" w:type="dxa"/>
        </w:tblCellMar>
        <w:tblLook w:val="04A0" w:firstRow="1" w:lastRow="0" w:firstColumn="1" w:lastColumn="0" w:noHBand="0" w:noVBand="1"/>
      </w:tblPr>
      <w:tblGrid>
        <w:gridCol w:w="450"/>
        <w:gridCol w:w="1990"/>
        <w:gridCol w:w="1986"/>
        <w:gridCol w:w="1534"/>
        <w:gridCol w:w="1223"/>
        <w:gridCol w:w="1226"/>
        <w:gridCol w:w="2245"/>
        <w:gridCol w:w="1561"/>
      </w:tblGrid>
      <w:tr w:rsidR="000F2B3E" w:rsidRPr="0029408A" w14:paraId="4A1326C4" w14:textId="77777777" w:rsidTr="004E6D8A">
        <w:trPr>
          <w:jc w:val="center"/>
        </w:trPr>
        <w:tc>
          <w:tcPr>
            <w:tcW w:w="0" w:type="auto"/>
            <w:gridSpan w:val="8"/>
            <w:tcBorders>
              <w:top w:val="nil"/>
              <w:left w:val="nil"/>
              <w:bottom w:val="nil"/>
              <w:right w:val="nil"/>
            </w:tcBorders>
            <w:tcMar>
              <w:top w:w="24" w:type="dxa"/>
              <w:left w:w="48" w:type="dxa"/>
              <w:bottom w:w="24" w:type="dxa"/>
              <w:right w:w="48" w:type="dxa"/>
            </w:tcMar>
            <w:hideMark/>
          </w:tcPr>
          <w:p w14:paraId="5A7CD572" w14:textId="77777777" w:rsidR="00BE00E0" w:rsidRPr="0029408A" w:rsidRDefault="00BE00E0" w:rsidP="00BE00E0">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lastRenderedPageBreak/>
              <w:t xml:space="preserve">Annex No. 7 </w:t>
            </w:r>
          </w:p>
          <w:p w14:paraId="021566E3" w14:textId="77777777" w:rsidR="00BE00E0" w:rsidRPr="0029408A" w:rsidRDefault="00BE00E0" w:rsidP="00BE00E0">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to the </w:t>
            </w:r>
            <w:r w:rsidRPr="0029408A">
              <w:rPr>
                <w:rFonts w:ascii="Times New Roman" w:eastAsia="Times New Roman" w:hAnsi="Times New Roman"/>
                <w:bCs/>
                <w:color w:val="000000"/>
                <w:sz w:val="24"/>
                <w:szCs w:val="24"/>
                <w:lang w:val="en-GB"/>
              </w:rPr>
              <w:t>Regulation on the requirements for publication</w:t>
            </w:r>
          </w:p>
          <w:p w14:paraId="0A18B83B" w14:textId="77777777" w:rsidR="00BE00E0" w:rsidRPr="0029408A" w:rsidRDefault="00BE00E0" w:rsidP="00BE00E0">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bCs/>
                <w:color w:val="000000"/>
                <w:sz w:val="24"/>
                <w:szCs w:val="24"/>
                <w:lang w:val="en-GB"/>
              </w:rPr>
              <w:t>of information by banks</w:t>
            </w:r>
            <w:r w:rsidRPr="0029408A">
              <w:rPr>
                <w:rFonts w:ascii="Times New Roman" w:eastAsia="Times New Roman" w:hAnsi="Times New Roman"/>
                <w:color w:val="000000"/>
                <w:sz w:val="24"/>
                <w:szCs w:val="24"/>
                <w:lang w:val="en-GB" w:eastAsia="ru-RU"/>
              </w:rPr>
              <w:t xml:space="preserve"> </w:t>
            </w:r>
          </w:p>
          <w:p w14:paraId="716077E4" w14:textId="77777777" w:rsidR="00F76429" w:rsidRPr="0029408A" w:rsidRDefault="00F76429" w:rsidP="00F76429">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eastAsia="ru-RU"/>
              </w:rPr>
              <w:t xml:space="preserve"> </w:t>
            </w:r>
          </w:p>
          <w:p w14:paraId="1CE4491A" w14:textId="77777777" w:rsidR="00F76429" w:rsidRPr="0029408A" w:rsidRDefault="00F76429" w:rsidP="004E6D8A">
            <w:pPr>
              <w:spacing w:after="0" w:line="240" w:lineRule="auto"/>
              <w:jc w:val="center"/>
              <w:rPr>
                <w:rFonts w:ascii="Times New Roman" w:eastAsia="Times New Roman" w:hAnsi="Times New Roman"/>
                <w:b/>
                <w:bCs/>
                <w:color w:val="000000"/>
                <w:sz w:val="24"/>
                <w:szCs w:val="24"/>
                <w:lang w:val="en-GB"/>
              </w:rPr>
            </w:pPr>
          </w:p>
          <w:p w14:paraId="7CD5288F" w14:textId="77777777" w:rsidR="003F6F52" w:rsidRPr="0029408A" w:rsidRDefault="003F6F52"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 xml:space="preserve">INFORMATION </w:t>
            </w:r>
          </w:p>
          <w:p w14:paraId="1881E60B" w14:textId="77777777" w:rsidR="003F6F52" w:rsidRPr="0029408A" w:rsidRDefault="003F6F52"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 xml:space="preserve">on shareholders and / or groups of persons acting in concert and </w:t>
            </w:r>
          </w:p>
          <w:p w14:paraId="4A6303A5" w14:textId="77777777" w:rsidR="004E6D8A" w:rsidRPr="0029408A" w:rsidRDefault="003F6F52"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holding qualified holdings in the share capital of the bank and on their beneficial owners</w:t>
            </w:r>
          </w:p>
          <w:p w14:paraId="538FAE00"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tc>
      </w:tr>
      <w:tr w:rsidR="000F2B3E" w:rsidRPr="0029408A" w14:paraId="3FE52D23" w14:textId="77777777" w:rsidTr="003451F0">
        <w:trPr>
          <w:jc w:val="center"/>
        </w:trPr>
        <w:tc>
          <w:tcPr>
            <w:tcW w:w="185" w:type="pct"/>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vAlign w:val="center"/>
            <w:hideMark/>
          </w:tcPr>
          <w:p w14:paraId="5BC31534" w14:textId="77777777" w:rsidR="004E6D8A" w:rsidRPr="0029408A" w:rsidRDefault="003F6F52"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No</w:t>
            </w:r>
            <w:r w:rsidR="004E6D8A" w:rsidRPr="0029408A">
              <w:rPr>
                <w:rFonts w:ascii="Times New Roman" w:eastAsia="Times New Roman" w:hAnsi="Times New Roman"/>
                <w:b/>
                <w:bCs/>
                <w:color w:val="000000"/>
                <w:sz w:val="24"/>
                <w:szCs w:val="24"/>
                <w:lang w:val="en-GB"/>
              </w:rPr>
              <w:t>.</w:t>
            </w:r>
            <w:r w:rsidR="004E6D8A" w:rsidRPr="0029408A">
              <w:rPr>
                <w:rFonts w:ascii="Times New Roman" w:eastAsia="Times New Roman" w:hAnsi="Times New Roman"/>
                <w:b/>
                <w:bCs/>
                <w:color w:val="000000"/>
                <w:sz w:val="24"/>
                <w:szCs w:val="24"/>
                <w:lang w:val="en-GB"/>
              </w:rPr>
              <w:br/>
            </w:r>
            <w:proofErr w:type="spellStart"/>
            <w:r w:rsidR="004E6D8A" w:rsidRPr="0029408A">
              <w:rPr>
                <w:rFonts w:ascii="Times New Roman" w:eastAsia="Times New Roman" w:hAnsi="Times New Roman"/>
                <w:b/>
                <w:bCs/>
                <w:color w:val="000000"/>
                <w:sz w:val="24"/>
                <w:szCs w:val="24"/>
                <w:lang w:val="en-GB"/>
              </w:rPr>
              <w:t>crt</w:t>
            </w:r>
            <w:proofErr w:type="spellEnd"/>
            <w:r w:rsidR="004E6D8A" w:rsidRPr="0029408A">
              <w:rPr>
                <w:rFonts w:ascii="Times New Roman" w:eastAsia="Times New Roman" w:hAnsi="Times New Roman"/>
                <w:b/>
                <w:bCs/>
                <w:color w:val="000000"/>
                <w:sz w:val="24"/>
                <w:szCs w:val="24"/>
                <w:lang w:val="en-GB"/>
              </w:rPr>
              <w:t>.</w:t>
            </w:r>
          </w:p>
        </w:tc>
        <w:tc>
          <w:tcPr>
            <w:tcW w:w="3239" w:type="pct"/>
            <w:gridSpan w:val="5"/>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vAlign w:val="center"/>
            <w:hideMark/>
          </w:tcPr>
          <w:p w14:paraId="66114A39" w14:textId="77777777" w:rsidR="004E6D8A" w:rsidRPr="0029408A" w:rsidRDefault="003451F0" w:rsidP="00FC6E25">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Direct holders of qualified holdings</w:t>
            </w:r>
          </w:p>
        </w:tc>
        <w:tc>
          <w:tcPr>
            <w:tcW w:w="1576" w:type="pct"/>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05960D9" w14:textId="77777777" w:rsidR="004E6D8A" w:rsidRPr="0029408A" w:rsidRDefault="003451F0"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Beneficial owners of qualified holdings</w:t>
            </w:r>
          </w:p>
        </w:tc>
      </w:tr>
      <w:tr w:rsidR="000F2B3E" w:rsidRPr="0029408A" w14:paraId="04A43827" w14:textId="77777777" w:rsidTr="003451F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017C6B" w14:textId="77777777" w:rsidR="004E6D8A" w:rsidRPr="0029408A" w:rsidRDefault="004E6D8A" w:rsidP="004E6D8A">
            <w:pPr>
              <w:spacing w:after="0" w:line="240" w:lineRule="auto"/>
              <w:rPr>
                <w:rFonts w:ascii="Times New Roman" w:eastAsia="Times New Roman" w:hAnsi="Times New Roman"/>
                <w:b/>
                <w:bCs/>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vAlign w:val="center"/>
            <w:hideMark/>
          </w:tcPr>
          <w:p w14:paraId="120EF382" w14:textId="77777777" w:rsidR="003451F0" w:rsidRPr="0029408A" w:rsidRDefault="003451F0" w:rsidP="003451F0">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Name, surname /</w:t>
            </w:r>
          </w:p>
          <w:p w14:paraId="62A08583" w14:textId="77777777" w:rsidR="004E6D8A" w:rsidRPr="0029408A" w:rsidRDefault="003451F0" w:rsidP="003451F0">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Name of shareholders</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vAlign w:val="center"/>
            <w:hideMark/>
          </w:tcPr>
          <w:p w14:paraId="432ED0C6" w14:textId="77777777" w:rsidR="004E6D8A" w:rsidRPr="0029408A" w:rsidRDefault="003451F0"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Country of Residence</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vAlign w:val="center"/>
            <w:hideMark/>
          </w:tcPr>
          <w:p w14:paraId="760C2221" w14:textId="77777777" w:rsidR="004E6D8A" w:rsidRPr="0029408A" w:rsidRDefault="003451F0"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 xml:space="preserve">Group number </w:t>
            </w:r>
            <w:r w:rsidR="004E6D8A" w:rsidRPr="0029408A">
              <w:rPr>
                <w:rFonts w:ascii="Times New Roman" w:eastAsia="Times New Roman" w:hAnsi="Times New Roman"/>
                <w:b/>
                <w:bCs/>
                <w:color w:val="000000"/>
                <w:sz w:val="24"/>
                <w:szCs w:val="24"/>
                <w:vertAlign w:val="superscript"/>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vAlign w:val="center"/>
            <w:hideMark/>
          </w:tcPr>
          <w:p w14:paraId="4A8642E6" w14:textId="77777777" w:rsidR="004E6D8A" w:rsidRPr="0029408A" w:rsidRDefault="003451F0" w:rsidP="004E6D8A">
            <w:pPr>
              <w:spacing w:after="0" w:line="240" w:lineRule="auto"/>
              <w:jc w:val="center"/>
              <w:rPr>
                <w:rFonts w:ascii="Times New Roman" w:eastAsia="Times New Roman" w:hAnsi="Times New Roman"/>
                <w:b/>
                <w:bCs/>
                <w:color w:val="000000"/>
                <w:sz w:val="24"/>
                <w:szCs w:val="24"/>
                <w:lang w:val="en-GB"/>
              </w:rPr>
            </w:pPr>
            <w:proofErr w:type="gramStart"/>
            <w:r w:rsidRPr="0029408A">
              <w:rPr>
                <w:rFonts w:ascii="Times New Roman" w:eastAsia="Times New Roman" w:hAnsi="Times New Roman"/>
                <w:b/>
                <w:bCs/>
                <w:color w:val="000000"/>
                <w:sz w:val="24"/>
                <w:szCs w:val="24"/>
                <w:lang w:val="en-GB"/>
              </w:rPr>
              <w:t>Holding,%</w:t>
            </w:r>
            <w:proofErr w:type="gramEnd"/>
          </w:p>
        </w:tc>
        <w:tc>
          <w:tcPr>
            <w:tcW w:w="511" w:type="pc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vAlign w:val="center"/>
            <w:hideMark/>
          </w:tcPr>
          <w:p w14:paraId="1BC15596" w14:textId="77777777" w:rsidR="004E6D8A" w:rsidRPr="0029408A" w:rsidRDefault="003451F0"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 xml:space="preserve">Voting </w:t>
            </w:r>
            <w:proofErr w:type="gramStart"/>
            <w:r w:rsidRPr="0029408A">
              <w:rPr>
                <w:rFonts w:ascii="Times New Roman" w:eastAsia="Times New Roman" w:hAnsi="Times New Roman"/>
                <w:b/>
                <w:bCs/>
                <w:color w:val="000000"/>
                <w:sz w:val="24"/>
                <w:szCs w:val="24"/>
                <w:lang w:val="en-GB"/>
              </w:rPr>
              <w:t>rights,%</w:t>
            </w:r>
            <w:proofErr w:type="gramEnd"/>
          </w:p>
        </w:tc>
        <w:tc>
          <w:tcPr>
            <w:tcW w:w="928" w:type="pc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62FD21C6" w14:textId="77777777" w:rsidR="004E6D8A" w:rsidRPr="0029408A" w:rsidRDefault="003451F0"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Name, surname of beneficial owners</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405914F" w14:textId="77777777" w:rsidR="004E6D8A" w:rsidRPr="0029408A" w:rsidRDefault="003451F0" w:rsidP="004E6D8A">
            <w:pPr>
              <w:spacing w:after="0" w:line="240" w:lineRule="auto"/>
              <w:jc w:val="center"/>
              <w:rPr>
                <w:rFonts w:ascii="Times New Roman" w:eastAsia="Times New Roman" w:hAnsi="Times New Roman"/>
                <w:b/>
                <w:bCs/>
                <w:color w:val="000000"/>
                <w:sz w:val="24"/>
                <w:szCs w:val="24"/>
                <w:lang w:val="en-GB"/>
              </w:rPr>
            </w:pPr>
            <w:r w:rsidRPr="0029408A">
              <w:rPr>
                <w:rFonts w:ascii="Times New Roman" w:eastAsia="Times New Roman" w:hAnsi="Times New Roman"/>
                <w:b/>
                <w:bCs/>
                <w:color w:val="000000"/>
                <w:sz w:val="24"/>
                <w:szCs w:val="24"/>
                <w:lang w:val="en-GB"/>
              </w:rPr>
              <w:t>Country of Residence</w:t>
            </w:r>
          </w:p>
        </w:tc>
      </w:tr>
      <w:tr w:rsidR="000F2B3E" w:rsidRPr="0029408A" w14:paraId="0AE85FD5" w14:textId="77777777" w:rsidTr="003451F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AE95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678C8"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48A1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3653D"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F7B7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5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FBDA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9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B5F1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C1B1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5957C6EF" w14:textId="77777777" w:rsidTr="003451F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12860"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6B4FB"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9CD4F"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63E8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940A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5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2BD7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9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BFDF5"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A9DE2"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28821368" w14:textId="77777777" w:rsidTr="003451F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7A4E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D0E5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C588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D17F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D78B4"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5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C9C0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9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9D41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953D7"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0F2B3E" w:rsidRPr="0029408A" w14:paraId="24458888" w14:textId="77777777" w:rsidTr="003451F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F4E61"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EB1A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272B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8AE66"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774EA"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5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D2A7E"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9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41CC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10BFC"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p>
        </w:tc>
      </w:tr>
      <w:tr w:rsidR="004E6D8A" w:rsidRPr="0029408A" w14:paraId="5DFC81F6" w14:textId="77777777" w:rsidTr="004E6D8A">
        <w:trPr>
          <w:jc w:val="center"/>
        </w:trPr>
        <w:tc>
          <w:tcPr>
            <w:tcW w:w="0" w:type="auto"/>
            <w:gridSpan w:val="8"/>
            <w:tcBorders>
              <w:top w:val="nil"/>
              <w:left w:val="nil"/>
              <w:bottom w:val="nil"/>
              <w:right w:val="nil"/>
            </w:tcBorders>
            <w:tcMar>
              <w:top w:w="24" w:type="dxa"/>
              <w:left w:w="48" w:type="dxa"/>
              <w:bottom w:w="24" w:type="dxa"/>
              <w:right w:w="48" w:type="dxa"/>
            </w:tcMar>
            <w:hideMark/>
          </w:tcPr>
          <w:p w14:paraId="1A9395E9" w14:textId="77777777" w:rsidR="004E6D8A" w:rsidRPr="0029408A" w:rsidRDefault="004E6D8A" w:rsidP="004E6D8A">
            <w:pPr>
              <w:spacing w:after="0" w:line="240" w:lineRule="auto"/>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  </w:t>
            </w:r>
          </w:p>
          <w:p w14:paraId="2AEAD095" w14:textId="77777777" w:rsidR="004E6D8A" w:rsidRPr="0029408A" w:rsidRDefault="003B4275"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 xml:space="preserve">NOTE: </w:t>
            </w:r>
            <w:r w:rsidRPr="0029408A">
              <w:rPr>
                <w:rFonts w:ascii="Times New Roman" w:eastAsia="Times New Roman" w:hAnsi="Times New Roman"/>
                <w:bCs/>
                <w:color w:val="000000"/>
                <w:sz w:val="24"/>
                <w:szCs w:val="24"/>
                <w:lang w:val="en-GB"/>
              </w:rPr>
              <w:t>The information is published in accordance with the provisions of the Regulation on the requirements for publication of information by banks.</w:t>
            </w:r>
          </w:p>
          <w:p w14:paraId="0D509BCE"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 </w:t>
            </w:r>
            <w:r w:rsidR="003B4275" w:rsidRPr="0029408A">
              <w:rPr>
                <w:rFonts w:ascii="Times New Roman" w:eastAsia="Times New Roman" w:hAnsi="Times New Roman"/>
                <w:color w:val="000000"/>
                <w:sz w:val="24"/>
                <w:szCs w:val="24"/>
                <w:lang w:val="en-GB"/>
              </w:rPr>
              <w:t>*This category indicates the group number (1, 2, 3 - n) according to Annex no. 10, section “How to prepare the Report on the bank's shareholders” to the Instruction no. 279/2011.</w:t>
            </w:r>
          </w:p>
          <w:p w14:paraId="6875DFBC"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p w14:paraId="0D152E74" w14:textId="77777777" w:rsidR="004E6D8A" w:rsidRPr="0029408A" w:rsidRDefault="006B0A3D"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Signature</w:t>
            </w:r>
            <w:r w:rsidR="004E6D8A" w:rsidRPr="0029408A">
              <w:rPr>
                <w:rFonts w:ascii="Times New Roman" w:eastAsia="Times New Roman" w:hAnsi="Times New Roman"/>
                <w:b/>
                <w:bCs/>
                <w:color w:val="000000"/>
                <w:sz w:val="24"/>
                <w:szCs w:val="24"/>
                <w:lang w:val="en-GB"/>
              </w:rPr>
              <w:t>:</w:t>
            </w:r>
          </w:p>
          <w:p w14:paraId="00A3D4FD" w14:textId="77777777" w:rsidR="004E6D8A" w:rsidRPr="0029408A" w:rsidRDefault="006B0A3D"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b/>
                <w:bCs/>
                <w:color w:val="000000"/>
                <w:sz w:val="24"/>
                <w:szCs w:val="24"/>
                <w:lang w:val="en-GB"/>
              </w:rPr>
              <w:t>Head</w:t>
            </w:r>
            <w:r w:rsidR="004E6D8A" w:rsidRPr="0029408A">
              <w:rPr>
                <w:rFonts w:ascii="Times New Roman" w:eastAsia="Times New Roman" w:hAnsi="Times New Roman"/>
                <w:color w:val="000000"/>
                <w:sz w:val="24"/>
                <w:szCs w:val="24"/>
                <w:lang w:val="en-GB"/>
              </w:rPr>
              <w:t xml:space="preserve"> ______________________</w:t>
            </w:r>
          </w:p>
          <w:p w14:paraId="282E8DE8"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p>
          <w:p w14:paraId="1D06C644"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p>
          <w:p w14:paraId="27F0DA89" w14:textId="77777777" w:rsidR="004E6D8A" w:rsidRPr="0029408A" w:rsidRDefault="004E6D8A" w:rsidP="004E6D8A">
            <w:pPr>
              <w:spacing w:after="0" w:line="240" w:lineRule="auto"/>
              <w:ind w:firstLine="567"/>
              <w:jc w:val="both"/>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w:t>
            </w:r>
            <w:r w:rsidR="006B0A3D" w:rsidRPr="0029408A">
              <w:rPr>
                <w:rFonts w:ascii="Times New Roman" w:eastAsia="Times New Roman" w:hAnsi="Times New Roman"/>
                <w:b/>
                <w:bCs/>
                <w:color w:val="000000"/>
                <w:sz w:val="24"/>
                <w:szCs w:val="24"/>
                <w:lang w:val="en-GB"/>
              </w:rPr>
              <w:t xml:space="preserve">Date of preparation </w:t>
            </w:r>
            <w:r w:rsidRPr="0029408A">
              <w:rPr>
                <w:rFonts w:ascii="Times New Roman" w:eastAsia="Times New Roman" w:hAnsi="Times New Roman"/>
                <w:color w:val="000000"/>
                <w:sz w:val="24"/>
                <w:szCs w:val="24"/>
                <w:lang w:val="en-GB"/>
              </w:rPr>
              <w:t>__________________</w:t>
            </w:r>
          </w:p>
        </w:tc>
      </w:tr>
    </w:tbl>
    <w:p w14:paraId="3B12A7CD" w14:textId="77777777" w:rsidR="004E6D8A" w:rsidRPr="0029408A" w:rsidRDefault="004E6D8A" w:rsidP="00AA4EA2">
      <w:pPr>
        <w:spacing w:after="0" w:line="240" w:lineRule="auto"/>
        <w:jc w:val="both"/>
        <w:rPr>
          <w:rFonts w:ascii="Times New Roman" w:eastAsia="Times New Roman" w:hAnsi="Times New Roman"/>
          <w:color w:val="000000"/>
          <w:sz w:val="24"/>
          <w:szCs w:val="24"/>
          <w:lang w:val="en-GB"/>
        </w:rPr>
      </w:pPr>
    </w:p>
    <w:p w14:paraId="55BC3525" w14:textId="77777777" w:rsidR="00F20B5E" w:rsidRPr="0029408A" w:rsidRDefault="00F20B5E" w:rsidP="00060560">
      <w:pPr>
        <w:spacing w:after="0" w:line="240" w:lineRule="auto"/>
        <w:jc w:val="both"/>
        <w:rPr>
          <w:rFonts w:ascii="Times New Roman" w:eastAsia="Times New Roman" w:hAnsi="Times New Roman"/>
          <w:color w:val="000000"/>
          <w:sz w:val="24"/>
          <w:szCs w:val="24"/>
          <w:lang w:val="en-GB"/>
        </w:rPr>
        <w:sectPr w:rsidR="00F20B5E" w:rsidRPr="0029408A" w:rsidSect="00C4692A">
          <w:headerReference w:type="even" r:id="rId13"/>
          <w:headerReference w:type="default" r:id="rId14"/>
          <w:footerReference w:type="even" r:id="rId15"/>
          <w:footerReference w:type="default" r:id="rId16"/>
          <w:pgSz w:w="15840" w:h="12240" w:orient="landscape"/>
          <w:pgMar w:top="1134" w:right="1134" w:bottom="709" w:left="1134" w:header="720" w:footer="720" w:gutter="0"/>
          <w:cols w:space="720"/>
          <w:docGrid w:linePitch="360"/>
        </w:sectPr>
      </w:pPr>
    </w:p>
    <w:p w14:paraId="304FA5D5" w14:textId="77777777" w:rsidR="00400B8B" w:rsidRPr="0029408A" w:rsidRDefault="00400B8B" w:rsidP="00400B8B">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lastRenderedPageBreak/>
        <w:t xml:space="preserve">Annex No. 8 </w:t>
      </w:r>
    </w:p>
    <w:p w14:paraId="7A99AA9A" w14:textId="77777777" w:rsidR="00400B8B" w:rsidRPr="0029408A" w:rsidRDefault="00400B8B" w:rsidP="00400B8B">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to the </w:t>
      </w:r>
      <w:r w:rsidRPr="0029408A">
        <w:rPr>
          <w:rFonts w:ascii="Times New Roman" w:eastAsia="Times New Roman" w:hAnsi="Times New Roman"/>
          <w:bCs/>
          <w:color w:val="000000"/>
          <w:sz w:val="24"/>
          <w:szCs w:val="24"/>
          <w:lang w:val="en-GB"/>
        </w:rPr>
        <w:t>Regulation on the requirements for publication</w:t>
      </w:r>
    </w:p>
    <w:p w14:paraId="7432C80F" w14:textId="77777777" w:rsidR="003D019F" w:rsidRPr="0029408A" w:rsidRDefault="00400B8B" w:rsidP="00400B8B">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bCs/>
          <w:color w:val="000000"/>
          <w:sz w:val="24"/>
          <w:szCs w:val="24"/>
          <w:lang w:val="en-GB"/>
        </w:rPr>
        <w:t>of information by banks</w:t>
      </w:r>
      <w:r w:rsidR="003D019F" w:rsidRPr="0029408A">
        <w:rPr>
          <w:rFonts w:ascii="Times New Roman" w:eastAsia="Times New Roman" w:hAnsi="Times New Roman"/>
          <w:color w:val="000000"/>
          <w:sz w:val="24"/>
          <w:szCs w:val="24"/>
          <w:lang w:val="en-GB" w:eastAsia="ru-RU"/>
        </w:rPr>
        <w:t xml:space="preserve"> </w:t>
      </w:r>
    </w:p>
    <w:p w14:paraId="5B31D9DD" w14:textId="77777777" w:rsidR="00E77A2C" w:rsidRPr="0029408A" w:rsidRDefault="00E77A2C" w:rsidP="00E77A2C">
      <w:pPr>
        <w:pStyle w:val="ListParagraph"/>
        <w:tabs>
          <w:tab w:val="left" w:pos="426"/>
        </w:tabs>
        <w:spacing w:after="160" w:line="259" w:lineRule="auto"/>
        <w:ind w:left="0"/>
        <w:jc w:val="both"/>
        <w:rPr>
          <w:rFonts w:eastAsia="Calibri"/>
          <w:color w:val="000000"/>
        </w:rPr>
      </w:pPr>
    </w:p>
    <w:p w14:paraId="227FDB36" w14:textId="77777777" w:rsidR="00E77A2C" w:rsidRPr="0029408A" w:rsidRDefault="00EC46F1" w:rsidP="00E77A2C">
      <w:pPr>
        <w:pStyle w:val="ListParagraph"/>
        <w:tabs>
          <w:tab w:val="left" w:pos="426"/>
        </w:tabs>
        <w:spacing w:after="160" w:line="259" w:lineRule="auto"/>
        <w:ind w:left="0"/>
        <w:jc w:val="center"/>
        <w:rPr>
          <w:rFonts w:eastAsia="Calibri"/>
          <w:b/>
          <w:color w:val="000000"/>
        </w:rPr>
      </w:pPr>
      <w:r w:rsidRPr="0029408A">
        <w:rPr>
          <w:rFonts w:eastAsia="Calibri"/>
          <w:b/>
          <w:color w:val="000000"/>
        </w:rPr>
        <w:t>Balance sheet reconciliation methodology</w:t>
      </w:r>
    </w:p>
    <w:p w14:paraId="1E097DFC" w14:textId="77777777" w:rsidR="00A5429E" w:rsidRPr="0029408A" w:rsidRDefault="00A5429E" w:rsidP="00E77A2C">
      <w:pPr>
        <w:pStyle w:val="ListParagraph"/>
        <w:tabs>
          <w:tab w:val="left" w:pos="426"/>
        </w:tabs>
        <w:spacing w:after="160" w:line="259" w:lineRule="auto"/>
        <w:ind w:left="0"/>
        <w:jc w:val="center"/>
        <w:rPr>
          <w:rFonts w:eastAsia="Calibri"/>
          <w:b/>
          <w:color w:val="000000"/>
        </w:rPr>
      </w:pPr>
    </w:p>
    <w:p w14:paraId="6D32FE71" w14:textId="77777777" w:rsidR="00E77A2C" w:rsidRPr="0029408A" w:rsidRDefault="001811BF" w:rsidP="001811BF">
      <w:pPr>
        <w:pStyle w:val="ListParagraph"/>
        <w:numPr>
          <w:ilvl w:val="3"/>
          <w:numId w:val="18"/>
        </w:numPr>
        <w:tabs>
          <w:tab w:val="left" w:pos="426"/>
        </w:tabs>
        <w:spacing w:after="160" w:line="259" w:lineRule="auto"/>
        <w:jc w:val="both"/>
        <w:rPr>
          <w:rFonts w:eastAsia="Calibri"/>
          <w:color w:val="000000"/>
        </w:rPr>
      </w:pPr>
      <w:r w:rsidRPr="0029408A">
        <w:rPr>
          <w:rFonts w:eastAsia="Calibri"/>
          <w:color w:val="000000"/>
        </w:rPr>
        <w:t xml:space="preserve">Banks shall apply the methodology described in this Annex to provide information on the reconciliation of balance sheet items used to calculate own funds and regulated own funds. Own funds items in the audited financial statements include all items that form components or are deducted from regulated own funds, including equity, liabilities, such as debt or other balance sheet items that affect regulated own funds, such as intangible assets, goodwill, </w:t>
      </w:r>
      <w:r w:rsidR="004F3DBF" w:rsidRPr="0029408A">
        <w:rPr>
          <w:rFonts w:eastAsia="Calibri"/>
          <w:color w:val="000000"/>
        </w:rPr>
        <w:t>deferred tax liabilities</w:t>
      </w:r>
      <w:r w:rsidRPr="0029408A">
        <w:rPr>
          <w:rFonts w:eastAsia="Calibri"/>
          <w:color w:val="000000"/>
        </w:rPr>
        <w:t xml:space="preserve">. </w:t>
      </w:r>
      <w:r w:rsidR="00E77A2C" w:rsidRPr="0029408A">
        <w:rPr>
          <w:rFonts w:eastAsia="Calibri"/>
          <w:color w:val="000000"/>
        </w:rPr>
        <w:t xml:space="preserve"> </w:t>
      </w:r>
    </w:p>
    <w:p w14:paraId="58582358" w14:textId="77777777" w:rsidR="00E77A2C" w:rsidRPr="0029408A" w:rsidRDefault="000E5C49" w:rsidP="000E5C49">
      <w:pPr>
        <w:pStyle w:val="ListParagraph"/>
        <w:numPr>
          <w:ilvl w:val="3"/>
          <w:numId w:val="18"/>
        </w:numPr>
        <w:tabs>
          <w:tab w:val="left" w:pos="426"/>
        </w:tabs>
        <w:spacing w:after="160" w:line="259" w:lineRule="auto"/>
        <w:jc w:val="both"/>
        <w:rPr>
          <w:rFonts w:eastAsia="Calibri"/>
          <w:color w:val="000000"/>
        </w:rPr>
      </w:pPr>
      <w:r w:rsidRPr="0029408A">
        <w:rPr>
          <w:rFonts w:eastAsia="Calibri"/>
          <w:color w:val="000000"/>
        </w:rPr>
        <w:t>Banks shall use as a starting point the relevant balance sheet items used to calculate their own funds, as in their published financial statements. The financial statements are considered to be audited financial statements when the reconciliation relates to the financial statements at the end of the year.</w:t>
      </w:r>
      <w:r w:rsidR="00E77A2C" w:rsidRPr="0029408A">
        <w:rPr>
          <w:rFonts w:eastAsia="Calibri"/>
          <w:color w:val="000000"/>
        </w:rPr>
        <w:t xml:space="preserve"> </w:t>
      </w:r>
    </w:p>
    <w:p w14:paraId="4850CF32" w14:textId="77777777" w:rsidR="00E77A2C" w:rsidRPr="0029408A" w:rsidRDefault="008C4590" w:rsidP="008C4590">
      <w:pPr>
        <w:pStyle w:val="ListParagraph"/>
        <w:numPr>
          <w:ilvl w:val="3"/>
          <w:numId w:val="18"/>
        </w:numPr>
        <w:tabs>
          <w:tab w:val="left" w:pos="426"/>
        </w:tabs>
        <w:spacing w:after="160" w:line="259" w:lineRule="auto"/>
        <w:jc w:val="both"/>
        <w:rPr>
          <w:rFonts w:eastAsia="Calibri"/>
          <w:color w:val="000000"/>
        </w:rPr>
      </w:pPr>
      <w:r w:rsidRPr="0029408A">
        <w:rPr>
          <w:rFonts w:eastAsia="Calibri"/>
          <w:color w:val="000000"/>
        </w:rPr>
        <w:t xml:space="preserve">Where banks comply with the publication obligations on a consolidated basis and the scope of consolidation or the method of consolidation used in the balance sheet of the financial statements is different from the scope of consolidation and the method of consolidation provided for in Regulation 101/2020 , banks shall also publish information on the regulatory balance sheet, which is a balance sheet drawn up in accordance with the prudential consolidation rules laid down in Regulation 101/2020 and limited to own funds items. The regulatory balance sheet is at least as detailed as the balance sheet in the financial statements for own funds items, and its items are accompanied by a clear indication, in parallel columns, of the correspondence with the own </w:t>
      </w:r>
      <w:proofErr w:type="gramStart"/>
      <w:r w:rsidRPr="0029408A">
        <w:rPr>
          <w:rFonts w:eastAsia="Calibri"/>
          <w:color w:val="000000"/>
        </w:rPr>
        <w:t>funds</w:t>
      </w:r>
      <w:proofErr w:type="gramEnd"/>
      <w:r w:rsidRPr="0029408A">
        <w:rPr>
          <w:rFonts w:eastAsia="Calibri"/>
          <w:color w:val="000000"/>
        </w:rPr>
        <w:t xml:space="preserve"> items of the balance sheet in the financial statements. Banks shall provide qualitative and quantitative information on the differences between the own funds items that are determined by the scope of consolidation and the method of consolidation used for the two balance sheets.</w:t>
      </w:r>
      <w:r w:rsidR="00E77A2C" w:rsidRPr="0029408A">
        <w:rPr>
          <w:rFonts w:eastAsia="Calibri"/>
          <w:color w:val="000000"/>
        </w:rPr>
        <w:t xml:space="preserve"> </w:t>
      </w:r>
    </w:p>
    <w:p w14:paraId="5F297E0A" w14:textId="77777777" w:rsidR="00E77A2C" w:rsidRPr="0029408A" w:rsidRDefault="005C43D5" w:rsidP="005C43D5">
      <w:pPr>
        <w:pStyle w:val="ListParagraph"/>
        <w:numPr>
          <w:ilvl w:val="3"/>
          <w:numId w:val="18"/>
        </w:numPr>
        <w:tabs>
          <w:tab w:val="left" w:pos="426"/>
        </w:tabs>
        <w:spacing w:after="160" w:line="259" w:lineRule="auto"/>
        <w:jc w:val="both"/>
        <w:rPr>
          <w:rFonts w:eastAsia="Calibri"/>
          <w:color w:val="000000"/>
        </w:rPr>
      </w:pPr>
      <w:r w:rsidRPr="0029408A">
        <w:rPr>
          <w:rFonts w:eastAsia="Calibri"/>
          <w:color w:val="000000"/>
        </w:rPr>
        <w:t>Banks shall present their own fund items of the regulatory balance sheet in such a way that all the components to be included in the form for the publication of information on own funds appear separately. Banks shall present their balance sheet items only to the level of detail that is necessary to derive the components to be included in the form for the publication of information on own funds.</w:t>
      </w:r>
      <w:r w:rsidR="00E77A2C" w:rsidRPr="0029408A">
        <w:rPr>
          <w:rFonts w:eastAsia="Calibri"/>
          <w:color w:val="000000"/>
        </w:rPr>
        <w:t xml:space="preserve"> </w:t>
      </w:r>
    </w:p>
    <w:p w14:paraId="55D52D68" w14:textId="77777777" w:rsidR="00E77A2C" w:rsidRPr="0029408A" w:rsidRDefault="0096066A" w:rsidP="0096066A">
      <w:pPr>
        <w:pStyle w:val="ListParagraph"/>
        <w:numPr>
          <w:ilvl w:val="3"/>
          <w:numId w:val="18"/>
        </w:numPr>
        <w:tabs>
          <w:tab w:val="left" w:pos="426"/>
        </w:tabs>
        <w:spacing w:after="160" w:line="259" w:lineRule="auto"/>
        <w:jc w:val="both"/>
        <w:rPr>
          <w:rFonts w:eastAsia="Calibri"/>
          <w:color w:val="000000"/>
        </w:rPr>
      </w:pPr>
      <w:r w:rsidRPr="0029408A">
        <w:rPr>
          <w:rFonts w:eastAsia="Calibri"/>
          <w:color w:val="000000"/>
        </w:rPr>
        <w:t>Banks shall establish a correspondence between the elements resulting from the presentation of the regulatory balance sheet as described in point 4 of this Annex and the elements included in the form for the publication of information on own funds.</w:t>
      </w:r>
      <w:r w:rsidR="00E77A2C" w:rsidRPr="0029408A">
        <w:rPr>
          <w:rFonts w:eastAsia="Calibri"/>
          <w:color w:val="000000"/>
        </w:rPr>
        <w:t xml:space="preserve"> </w:t>
      </w:r>
    </w:p>
    <w:p w14:paraId="6E3BDE92" w14:textId="77777777" w:rsidR="00E77A2C" w:rsidRPr="0029408A" w:rsidRDefault="00F94152" w:rsidP="00F94152">
      <w:pPr>
        <w:pStyle w:val="ListParagraph"/>
        <w:numPr>
          <w:ilvl w:val="3"/>
          <w:numId w:val="18"/>
        </w:numPr>
        <w:tabs>
          <w:tab w:val="left" w:pos="426"/>
        </w:tabs>
        <w:spacing w:after="160" w:line="259" w:lineRule="auto"/>
        <w:jc w:val="both"/>
        <w:rPr>
          <w:rFonts w:eastAsia="Calibri"/>
          <w:color w:val="000000"/>
        </w:rPr>
      </w:pPr>
      <w:r w:rsidRPr="0029408A">
        <w:rPr>
          <w:rFonts w:eastAsia="Calibri"/>
          <w:color w:val="000000"/>
        </w:rPr>
        <w:t>Where banks comply with the publication obligations set out in this Regulation on a consolidated basis, but the scope of consolidation and the method of consolidation used for the balance sheet in the financial statements are identical to the scope of consolidation and the method of consolidation defined in accordance with the Regulation No 101/2020, and the banks clearly state that there are no differences between the respective scope and consolidation methods, only points 5 and 6 of this Annex appl</w:t>
      </w:r>
      <w:r w:rsidR="002F2994" w:rsidRPr="0029408A">
        <w:rPr>
          <w:rFonts w:eastAsia="Calibri"/>
          <w:color w:val="000000"/>
        </w:rPr>
        <w:t>y, based on the balance sheet in</w:t>
      </w:r>
      <w:r w:rsidRPr="0029408A">
        <w:rPr>
          <w:rFonts w:eastAsia="Calibri"/>
          <w:color w:val="000000"/>
        </w:rPr>
        <w:t xml:space="preserve"> the financial statements.</w:t>
      </w:r>
      <w:r w:rsidR="00E77A2C" w:rsidRPr="0029408A">
        <w:rPr>
          <w:rFonts w:eastAsia="Calibri"/>
          <w:color w:val="000000"/>
        </w:rPr>
        <w:t xml:space="preserve"> </w:t>
      </w:r>
    </w:p>
    <w:p w14:paraId="09D6878B" w14:textId="77777777" w:rsidR="00E77A2C" w:rsidRPr="0029408A" w:rsidRDefault="008E4C28" w:rsidP="008E4C28">
      <w:pPr>
        <w:pStyle w:val="ListParagraph"/>
        <w:numPr>
          <w:ilvl w:val="3"/>
          <w:numId w:val="18"/>
        </w:numPr>
        <w:tabs>
          <w:tab w:val="left" w:pos="426"/>
        </w:tabs>
        <w:spacing w:after="160" w:line="259" w:lineRule="auto"/>
        <w:jc w:val="both"/>
        <w:rPr>
          <w:rFonts w:eastAsia="Calibri"/>
          <w:color w:val="000000"/>
        </w:rPr>
      </w:pPr>
      <w:r w:rsidRPr="0029408A">
        <w:rPr>
          <w:rFonts w:eastAsia="Calibri"/>
          <w:color w:val="000000"/>
        </w:rPr>
        <w:t>Where banks comply with the publication obligations set out in this Regulation on an individual basis, points 5 and 6 of this Annex shall apply on the basis of the balance sheet in the financial statements.</w:t>
      </w:r>
      <w:r w:rsidR="00E77A2C" w:rsidRPr="0029408A">
        <w:rPr>
          <w:rFonts w:eastAsia="Calibri"/>
          <w:color w:val="000000"/>
        </w:rPr>
        <w:t xml:space="preserve"> </w:t>
      </w:r>
    </w:p>
    <w:p w14:paraId="061AA6C2" w14:textId="77777777" w:rsidR="00A5429E" w:rsidRPr="0029408A" w:rsidRDefault="00BF27C6" w:rsidP="00BF27C6">
      <w:pPr>
        <w:pStyle w:val="ListParagraph"/>
        <w:numPr>
          <w:ilvl w:val="3"/>
          <w:numId w:val="18"/>
        </w:numPr>
        <w:tabs>
          <w:tab w:val="left" w:pos="426"/>
        </w:tabs>
        <w:spacing w:after="160" w:line="259" w:lineRule="auto"/>
        <w:jc w:val="both"/>
        <w:rPr>
          <w:rFonts w:eastAsia="Calibri"/>
          <w:color w:val="000000"/>
        </w:rPr>
      </w:pPr>
      <w:r w:rsidRPr="0029408A">
        <w:rPr>
          <w:rFonts w:eastAsia="Calibri"/>
          <w:color w:val="000000"/>
        </w:rPr>
        <w:lastRenderedPageBreak/>
        <w:t>Information on the reconciliation of own funds items in the balance sheet resulting from the application of the methodology described in this Annex may be provided in an unaudited format.</w:t>
      </w:r>
      <w:r w:rsidR="00A5429E" w:rsidRPr="0029408A">
        <w:rPr>
          <w:color w:val="000000"/>
        </w:rPr>
        <w:br w:type="page"/>
      </w:r>
    </w:p>
    <w:p w14:paraId="477C09FD" w14:textId="77777777" w:rsidR="00F20B5E" w:rsidRPr="0029408A" w:rsidRDefault="00F20B5E" w:rsidP="00060560">
      <w:pPr>
        <w:spacing w:after="0" w:line="240" w:lineRule="auto"/>
        <w:jc w:val="both"/>
        <w:rPr>
          <w:rFonts w:ascii="Times New Roman" w:eastAsia="Times New Roman" w:hAnsi="Times New Roman"/>
          <w:color w:val="000000"/>
          <w:sz w:val="24"/>
          <w:szCs w:val="24"/>
          <w:lang w:val="en-GB"/>
        </w:rPr>
      </w:pPr>
    </w:p>
    <w:p w14:paraId="7C97FA82" w14:textId="77777777" w:rsidR="00BF27C6" w:rsidRPr="0029408A" w:rsidRDefault="00BF27C6" w:rsidP="00BF27C6">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Annex No. 9 </w:t>
      </w:r>
    </w:p>
    <w:p w14:paraId="6D7257FE" w14:textId="77777777" w:rsidR="00BF27C6" w:rsidRPr="0029408A" w:rsidRDefault="00BF27C6" w:rsidP="00BF27C6">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to the </w:t>
      </w:r>
      <w:r w:rsidRPr="0029408A">
        <w:rPr>
          <w:rFonts w:ascii="Times New Roman" w:eastAsia="Times New Roman" w:hAnsi="Times New Roman"/>
          <w:bCs/>
          <w:color w:val="000000"/>
          <w:sz w:val="24"/>
          <w:szCs w:val="24"/>
          <w:lang w:val="en-GB"/>
        </w:rPr>
        <w:t>Regulation on the requirements for publication</w:t>
      </w:r>
    </w:p>
    <w:p w14:paraId="56A69466" w14:textId="77777777" w:rsidR="003D019F" w:rsidRPr="0029408A" w:rsidRDefault="00BF27C6" w:rsidP="00BF27C6">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bCs/>
          <w:color w:val="000000"/>
          <w:sz w:val="24"/>
          <w:szCs w:val="24"/>
          <w:lang w:val="en-GB"/>
        </w:rPr>
        <w:t>of information by banks</w:t>
      </w:r>
      <w:r w:rsidR="00FF5300" w:rsidRPr="0029408A">
        <w:rPr>
          <w:rFonts w:ascii="Times New Roman" w:eastAsia="Times New Roman" w:hAnsi="Times New Roman"/>
          <w:color w:val="000000"/>
          <w:sz w:val="24"/>
          <w:szCs w:val="24"/>
          <w:lang w:val="en-GB" w:eastAsia="ru-RU"/>
        </w:rPr>
        <w:t xml:space="preserve"> </w:t>
      </w:r>
    </w:p>
    <w:p w14:paraId="4F97E0E6" w14:textId="77777777" w:rsidR="00393560" w:rsidRPr="0029408A" w:rsidRDefault="00393560" w:rsidP="00060560">
      <w:pPr>
        <w:spacing w:after="0" w:line="240" w:lineRule="auto"/>
        <w:jc w:val="both"/>
        <w:rPr>
          <w:rFonts w:ascii="Times New Roman" w:eastAsia="Times New Roman" w:hAnsi="Times New Roman"/>
          <w:color w:val="000000"/>
          <w:sz w:val="24"/>
          <w:szCs w:val="24"/>
          <w:lang w:val="en-GB"/>
        </w:rPr>
      </w:pPr>
    </w:p>
    <w:p w14:paraId="109BBB36" w14:textId="77777777" w:rsidR="00393560" w:rsidRPr="0029408A" w:rsidRDefault="00393560" w:rsidP="00393560">
      <w:pPr>
        <w:autoSpaceDE w:val="0"/>
        <w:autoSpaceDN w:val="0"/>
        <w:adjustRightInd w:val="0"/>
        <w:spacing w:before="60" w:after="60"/>
        <w:jc w:val="center"/>
        <w:rPr>
          <w:rFonts w:ascii="Times New Roman" w:hAnsi="Times New Roman"/>
          <w:b/>
          <w:bCs/>
          <w:color w:val="000000"/>
          <w:sz w:val="24"/>
          <w:szCs w:val="24"/>
          <w:lang w:val="en-GB"/>
        </w:rPr>
      </w:pPr>
    </w:p>
    <w:p w14:paraId="4169D06C" w14:textId="77777777" w:rsidR="00BF27C6" w:rsidRPr="0029408A" w:rsidRDefault="00BF27C6" w:rsidP="00393560">
      <w:pPr>
        <w:autoSpaceDE w:val="0"/>
        <w:autoSpaceDN w:val="0"/>
        <w:adjustRightInd w:val="0"/>
        <w:spacing w:before="60" w:after="60"/>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Instructions for completing the form on the main characteristics</w:t>
      </w:r>
    </w:p>
    <w:p w14:paraId="136D95DB" w14:textId="77777777" w:rsidR="00393560" w:rsidRPr="0029408A" w:rsidRDefault="00BF27C6" w:rsidP="00393560">
      <w:pPr>
        <w:autoSpaceDE w:val="0"/>
        <w:autoSpaceDN w:val="0"/>
        <w:adjustRightInd w:val="0"/>
        <w:spacing w:before="60" w:after="60"/>
        <w:jc w:val="center"/>
        <w:rPr>
          <w:rFonts w:ascii="Times New Roman" w:hAnsi="Times New Roman"/>
          <w:color w:val="000000"/>
          <w:sz w:val="24"/>
          <w:szCs w:val="24"/>
          <w:lang w:val="en-GB"/>
        </w:rPr>
      </w:pPr>
      <w:r w:rsidRPr="0029408A">
        <w:rPr>
          <w:rFonts w:ascii="Times New Roman" w:hAnsi="Times New Roman"/>
          <w:b/>
          <w:bCs/>
          <w:color w:val="000000"/>
          <w:sz w:val="24"/>
          <w:szCs w:val="24"/>
          <w:lang w:val="en-GB"/>
        </w:rPr>
        <w:t xml:space="preserve"> of capital instruments</w:t>
      </w:r>
    </w:p>
    <w:p w14:paraId="6E1AA522" w14:textId="77777777" w:rsidR="00393560" w:rsidRPr="0029408A" w:rsidRDefault="00393560" w:rsidP="00393560">
      <w:pPr>
        <w:autoSpaceDE w:val="0"/>
        <w:autoSpaceDN w:val="0"/>
        <w:adjustRightInd w:val="0"/>
        <w:spacing w:before="60" w:after="60"/>
        <w:jc w:val="both"/>
        <w:rPr>
          <w:rFonts w:ascii="Times New Roman" w:hAnsi="Times New Roman"/>
          <w:color w:val="000000"/>
          <w:lang w:val="en-GB"/>
        </w:rPr>
      </w:pPr>
    </w:p>
    <w:p w14:paraId="0F3DFA7F" w14:textId="77777777" w:rsidR="00393560" w:rsidRPr="0029408A" w:rsidRDefault="003D7FB0" w:rsidP="003D7FB0">
      <w:pPr>
        <w:pStyle w:val="ListParagraph"/>
        <w:numPr>
          <w:ilvl w:val="1"/>
          <w:numId w:val="40"/>
        </w:numPr>
        <w:tabs>
          <w:tab w:val="left" w:pos="426"/>
        </w:tabs>
        <w:spacing w:after="160" w:line="259" w:lineRule="auto"/>
        <w:jc w:val="both"/>
        <w:rPr>
          <w:rFonts w:eastAsia="Calibri"/>
          <w:color w:val="000000"/>
        </w:rPr>
      </w:pPr>
      <w:r w:rsidRPr="0029408A">
        <w:rPr>
          <w:rFonts w:eastAsia="Calibri"/>
          <w:color w:val="000000"/>
        </w:rPr>
        <w:t>This Annex sets out forms for the purpose of publishing information in accordance with point 56 sub-points 1) and 2) of this Regulation.</w:t>
      </w:r>
      <w:r w:rsidR="00393560" w:rsidRPr="0029408A">
        <w:rPr>
          <w:rFonts w:eastAsia="Calibri"/>
          <w:color w:val="000000"/>
        </w:rPr>
        <w:t xml:space="preserve"> </w:t>
      </w:r>
    </w:p>
    <w:p w14:paraId="57BF9867" w14:textId="77777777" w:rsidR="00393560" w:rsidRPr="0029408A" w:rsidRDefault="003D7FB0" w:rsidP="003D7FB0">
      <w:pPr>
        <w:pStyle w:val="ListParagraph"/>
        <w:numPr>
          <w:ilvl w:val="1"/>
          <w:numId w:val="40"/>
        </w:numPr>
        <w:tabs>
          <w:tab w:val="left" w:pos="426"/>
        </w:tabs>
        <w:spacing w:after="160" w:line="259" w:lineRule="auto"/>
        <w:jc w:val="both"/>
        <w:rPr>
          <w:rFonts w:eastAsia="Calibri"/>
          <w:color w:val="000000"/>
        </w:rPr>
      </w:pPr>
      <w:r w:rsidRPr="0029408A">
        <w:rPr>
          <w:rFonts w:eastAsia="Calibri"/>
          <w:color w:val="000000"/>
        </w:rPr>
        <w:t>Banks shall complete the form referred to for the following categories of instruments: Common Equity Tier 1 capital instruments, additional tier 1 instruments and tier 2 instruments.</w:t>
      </w:r>
    </w:p>
    <w:p w14:paraId="6C467F15" w14:textId="77777777" w:rsidR="00393560" w:rsidRPr="0029408A" w:rsidRDefault="00815788" w:rsidP="00815788">
      <w:pPr>
        <w:pStyle w:val="ListParagraph"/>
        <w:numPr>
          <w:ilvl w:val="1"/>
          <w:numId w:val="40"/>
        </w:numPr>
        <w:tabs>
          <w:tab w:val="left" w:pos="426"/>
        </w:tabs>
        <w:spacing w:after="160" w:line="259" w:lineRule="auto"/>
        <w:jc w:val="both"/>
        <w:rPr>
          <w:color w:val="000000"/>
        </w:rPr>
      </w:pPr>
      <w:r w:rsidRPr="0029408A">
        <w:rPr>
          <w:rFonts w:eastAsia="Calibri"/>
          <w:color w:val="000000"/>
        </w:rPr>
        <w:t>The forms include columns with the characteristics of the different instruments. If the capital instruments in the same category have identical characteristics, banks may complete only one column with these identical characteristics and identify the issues to which the identical characteristics refer.</w:t>
      </w:r>
    </w:p>
    <w:p w14:paraId="67863666" w14:textId="77777777" w:rsidR="00393560" w:rsidRPr="0029408A" w:rsidRDefault="00393560" w:rsidP="00393560">
      <w:pPr>
        <w:pStyle w:val="ListParagraph"/>
        <w:autoSpaceDE w:val="0"/>
        <w:autoSpaceDN w:val="0"/>
        <w:adjustRightInd w:val="0"/>
        <w:spacing w:before="60" w:after="60"/>
        <w:rPr>
          <w:rFonts w:eastAsia="Calibri"/>
          <w:color w:val="000000"/>
        </w:rPr>
      </w:pPr>
    </w:p>
    <w:p w14:paraId="22E1C4F1" w14:textId="77777777" w:rsidR="00393560" w:rsidRPr="0029408A" w:rsidRDefault="004472E1" w:rsidP="00393560">
      <w:pPr>
        <w:pStyle w:val="ListParagraph"/>
        <w:autoSpaceDE w:val="0"/>
        <w:autoSpaceDN w:val="0"/>
        <w:adjustRightInd w:val="0"/>
        <w:spacing w:before="60" w:after="60"/>
        <w:rPr>
          <w:rFonts w:eastAsia="Calibri"/>
          <w:color w:val="000000"/>
        </w:rPr>
      </w:pPr>
      <w:r w:rsidRPr="0029408A">
        <w:rPr>
          <w:rFonts w:eastAsia="Calibri"/>
          <w:b/>
          <w:bCs/>
          <w:color w:val="000000"/>
        </w:rPr>
        <w:t xml:space="preserve">Form on the main characteristics of </w:t>
      </w:r>
      <w:r w:rsidR="00E541A3" w:rsidRPr="0029408A">
        <w:rPr>
          <w:rFonts w:eastAsia="Calibri"/>
          <w:b/>
          <w:bCs/>
          <w:color w:val="000000"/>
        </w:rPr>
        <w:t>capital instruments</w:t>
      </w:r>
    </w:p>
    <w:p w14:paraId="4A4D1BE1" w14:textId="77777777" w:rsidR="00393560" w:rsidRPr="0029408A" w:rsidRDefault="00393560" w:rsidP="00393560">
      <w:pPr>
        <w:pStyle w:val="ListParagraph"/>
        <w:spacing w:after="160" w:line="259" w:lineRule="auto"/>
        <w:rPr>
          <w:b/>
          <w:color w:val="00000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685"/>
        <w:gridCol w:w="5387"/>
      </w:tblGrid>
      <w:tr w:rsidR="000F2B3E" w:rsidRPr="0029408A" w14:paraId="4E20D306" w14:textId="77777777" w:rsidTr="0029408A">
        <w:tc>
          <w:tcPr>
            <w:tcW w:w="9918" w:type="dxa"/>
            <w:gridSpan w:val="3"/>
            <w:shd w:val="clear" w:color="auto" w:fill="auto"/>
          </w:tcPr>
          <w:p w14:paraId="0B3367C6" w14:textId="77777777" w:rsidR="00393560" w:rsidRPr="0029408A" w:rsidRDefault="00DA3A3D" w:rsidP="003D0240">
            <w:pPr>
              <w:rPr>
                <w:rFonts w:ascii="Times New Roman" w:hAnsi="Times New Roman"/>
                <w:b/>
                <w:color w:val="000000"/>
                <w:lang w:val="en-GB"/>
              </w:rPr>
            </w:pPr>
            <w:r w:rsidRPr="0029408A">
              <w:rPr>
                <w:rFonts w:ascii="Times New Roman" w:hAnsi="Times New Roman"/>
                <w:b/>
                <w:bCs/>
                <w:color w:val="000000"/>
                <w:lang w:val="en-GB"/>
              </w:rPr>
              <w:t xml:space="preserve">Form on the main characteristics of </w:t>
            </w:r>
            <w:r w:rsidR="00E541A3" w:rsidRPr="0029408A">
              <w:rPr>
                <w:rFonts w:ascii="Times New Roman" w:hAnsi="Times New Roman"/>
                <w:b/>
                <w:bCs/>
                <w:color w:val="000000"/>
                <w:lang w:val="en-GB"/>
              </w:rPr>
              <w:t>capital instruments</w:t>
            </w:r>
          </w:p>
        </w:tc>
      </w:tr>
      <w:tr w:rsidR="000F2B3E" w:rsidRPr="0029408A" w14:paraId="55CA251D" w14:textId="77777777" w:rsidTr="0029408A">
        <w:tc>
          <w:tcPr>
            <w:tcW w:w="846" w:type="dxa"/>
            <w:shd w:val="clear" w:color="auto" w:fill="auto"/>
          </w:tcPr>
          <w:p w14:paraId="5C4C5A94" w14:textId="77777777" w:rsidR="00393560" w:rsidRPr="0029408A" w:rsidRDefault="00393560" w:rsidP="006050BC">
            <w:pPr>
              <w:rPr>
                <w:rFonts w:ascii="Times New Roman" w:hAnsi="Times New Roman"/>
                <w:b/>
                <w:color w:val="000000"/>
                <w:lang w:val="en-GB"/>
              </w:rPr>
            </w:pPr>
          </w:p>
        </w:tc>
        <w:tc>
          <w:tcPr>
            <w:tcW w:w="3685" w:type="dxa"/>
            <w:shd w:val="clear" w:color="auto" w:fill="auto"/>
          </w:tcPr>
          <w:p w14:paraId="783BD1F4" w14:textId="77777777" w:rsidR="00393560" w:rsidRPr="0029408A" w:rsidRDefault="007544E3" w:rsidP="003D0240">
            <w:pPr>
              <w:rPr>
                <w:rFonts w:ascii="Times New Roman" w:hAnsi="Times New Roman"/>
                <w:b/>
                <w:color w:val="000000"/>
                <w:lang w:val="en-GB"/>
              </w:rPr>
            </w:pPr>
            <w:r w:rsidRPr="0029408A">
              <w:rPr>
                <w:rFonts w:ascii="Times New Roman" w:hAnsi="Times New Roman"/>
                <w:b/>
                <w:bCs/>
                <w:color w:val="000000"/>
                <w:lang w:val="en-GB"/>
              </w:rPr>
              <w:t xml:space="preserve">The main characteristics of </w:t>
            </w:r>
            <w:r w:rsidR="00E541A3" w:rsidRPr="0029408A">
              <w:rPr>
                <w:rFonts w:ascii="Times New Roman" w:hAnsi="Times New Roman"/>
                <w:b/>
                <w:bCs/>
                <w:color w:val="000000"/>
                <w:lang w:val="en-GB"/>
              </w:rPr>
              <w:t>capital instruments</w:t>
            </w:r>
          </w:p>
        </w:tc>
        <w:tc>
          <w:tcPr>
            <w:tcW w:w="5387" w:type="dxa"/>
            <w:shd w:val="clear" w:color="auto" w:fill="auto"/>
          </w:tcPr>
          <w:p w14:paraId="29F276F4" w14:textId="77777777" w:rsidR="00393560" w:rsidRPr="0029408A" w:rsidRDefault="000318DC" w:rsidP="006050BC">
            <w:pPr>
              <w:rPr>
                <w:rFonts w:ascii="Times New Roman" w:hAnsi="Times New Roman"/>
                <w:b/>
                <w:color w:val="000000"/>
                <w:lang w:val="en-GB"/>
              </w:rPr>
            </w:pPr>
            <w:r w:rsidRPr="0029408A">
              <w:rPr>
                <w:rFonts w:ascii="Times New Roman" w:hAnsi="Times New Roman"/>
                <w:b/>
                <w:color w:val="000000"/>
                <w:lang w:val="en-GB"/>
              </w:rPr>
              <w:t>Instructions for completing the form</w:t>
            </w:r>
          </w:p>
        </w:tc>
      </w:tr>
      <w:tr w:rsidR="007544E3" w:rsidRPr="0029408A" w14:paraId="58EA071C" w14:textId="77777777" w:rsidTr="0029408A">
        <w:trPr>
          <w:trHeight w:val="702"/>
        </w:trPr>
        <w:tc>
          <w:tcPr>
            <w:tcW w:w="846" w:type="dxa"/>
            <w:shd w:val="clear" w:color="auto" w:fill="auto"/>
          </w:tcPr>
          <w:p w14:paraId="46FEA566" w14:textId="77777777" w:rsidR="007544E3" w:rsidRPr="0029408A" w:rsidRDefault="007544E3" w:rsidP="0029408A">
            <w:pPr>
              <w:pStyle w:val="ListParagraph"/>
              <w:numPr>
                <w:ilvl w:val="0"/>
                <w:numId w:val="45"/>
              </w:numPr>
              <w:spacing w:after="160" w:line="259" w:lineRule="auto"/>
              <w:rPr>
                <w:color w:val="000000"/>
              </w:rPr>
            </w:pPr>
          </w:p>
        </w:tc>
        <w:tc>
          <w:tcPr>
            <w:tcW w:w="3685" w:type="dxa"/>
            <w:shd w:val="clear" w:color="auto" w:fill="auto"/>
          </w:tcPr>
          <w:p w14:paraId="321C080E" w14:textId="77777777" w:rsidR="007544E3" w:rsidRPr="0029408A" w:rsidRDefault="007544E3" w:rsidP="0029408A">
            <w:pPr>
              <w:spacing w:after="0" w:line="240" w:lineRule="auto"/>
              <w:rPr>
                <w:rFonts w:ascii="Times New Roman" w:hAnsi="Times New Roman"/>
                <w:sz w:val="24"/>
                <w:lang w:val="en-GB"/>
              </w:rPr>
            </w:pPr>
            <w:r w:rsidRPr="0029408A">
              <w:rPr>
                <w:rFonts w:ascii="Times New Roman" w:hAnsi="Times New Roman"/>
                <w:sz w:val="24"/>
                <w:lang w:val="en-GB"/>
              </w:rPr>
              <w:t>Issuer</w:t>
            </w:r>
          </w:p>
        </w:tc>
        <w:tc>
          <w:tcPr>
            <w:tcW w:w="5387" w:type="dxa"/>
            <w:shd w:val="clear" w:color="auto" w:fill="auto"/>
          </w:tcPr>
          <w:p w14:paraId="786DDE4B" w14:textId="77777777" w:rsidR="000318DC" w:rsidRPr="0029408A" w:rsidRDefault="000318DC" w:rsidP="0029408A">
            <w:pPr>
              <w:spacing w:after="0" w:line="240" w:lineRule="auto"/>
              <w:rPr>
                <w:rFonts w:ascii="Times New Roman" w:hAnsi="Times New Roman"/>
                <w:color w:val="000000"/>
                <w:sz w:val="24"/>
                <w:szCs w:val="24"/>
                <w:lang w:val="en-GB"/>
              </w:rPr>
            </w:pPr>
            <w:r w:rsidRPr="0029408A">
              <w:rPr>
                <w:rFonts w:ascii="Times New Roman" w:hAnsi="Times New Roman"/>
                <w:color w:val="000000"/>
                <w:sz w:val="24"/>
                <w:szCs w:val="24"/>
                <w:lang w:val="en-GB"/>
              </w:rPr>
              <w:t>The name of the issuing entity shall be indicated.</w:t>
            </w:r>
          </w:p>
          <w:p w14:paraId="29F5E1F4" w14:textId="77777777" w:rsidR="007544E3" w:rsidRPr="0029408A" w:rsidRDefault="000318DC" w:rsidP="000318DC">
            <w:pPr>
              <w:rPr>
                <w:rFonts w:ascii="Times New Roman" w:hAnsi="Times New Roman"/>
                <w:b/>
                <w:i/>
                <w:color w:val="000000"/>
                <w:sz w:val="24"/>
                <w:szCs w:val="24"/>
                <w:lang w:val="en-GB"/>
              </w:rPr>
            </w:pPr>
            <w:r w:rsidRPr="0029408A">
              <w:rPr>
                <w:rFonts w:ascii="Times New Roman" w:hAnsi="Times New Roman"/>
                <w:i/>
                <w:color w:val="000000"/>
                <w:sz w:val="24"/>
                <w:szCs w:val="24"/>
                <w:lang w:val="en-GB"/>
              </w:rPr>
              <w:t>(free text)</w:t>
            </w:r>
          </w:p>
        </w:tc>
      </w:tr>
      <w:tr w:rsidR="007544E3" w:rsidRPr="0029408A" w14:paraId="0729EE4C" w14:textId="77777777" w:rsidTr="0029408A">
        <w:tc>
          <w:tcPr>
            <w:tcW w:w="846" w:type="dxa"/>
            <w:shd w:val="clear" w:color="auto" w:fill="auto"/>
          </w:tcPr>
          <w:p w14:paraId="251FA33A" w14:textId="77777777" w:rsidR="007544E3" w:rsidRPr="0029408A" w:rsidRDefault="007544E3" w:rsidP="0029408A">
            <w:pPr>
              <w:pStyle w:val="ListParagraph"/>
              <w:numPr>
                <w:ilvl w:val="0"/>
                <w:numId w:val="45"/>
              </w:numPr>
              <w:spacing w:after="160" w:line="259" w:lineRule="auto"/>
              <w:rPr>
                <w:color w:val="000000"/>
              </w:rPr>
            </w:pPr>
          </w:p>
        </w:tc>
        <w:tc>
          <w:tcPr>
            <w:tcW w:w="3685" w:type="dxa"/>
            <w:shd w:val="clear" w:color="auto" w:fill="auto"/>
          </w:tcPr>
          <w:p w14:paraId="49C5AAAE" w14:textId="77777777" w:rsidR="007544E3" w:rsidRPr="0029408A" w:rsidRDefault="007544E3" w:rsidP="0029408A">
            <w:pPr>
              <w:spacing w:after="0" w:line="240" w:lineRule="auto"/>
              <w:rPr>
                <w:rFonts w:ascii="Times New Roman" w:hAnsi="Times New Roman"/>
                <w:sz w:val="24"/>
                <w:lang w:val="en-GB"/>
              </w:rPr>
            </w:pPr>
            <w:r w:rsidRPr="0029408A">
              <w:rPr>
                <w:rFonts w:ascii="Times New Roman" w:hAnsi="Times New Roman"/>
                <w:sz w:val="24"/>
                <w:lang w:val="en-GB"/>
              </w:rPr>
              <w:t>Unique identifier</w:t>
            </w:r>
          </w:p>
        </w:tc>
        <w:tc>
          <w:tcPr>
            <w:tcW w:w="5387" w:type="dxa"/>
            <w:shd w:val="clear" w:color="auto" w:fill="auto"/>
          </w:tcPr>
          <w:p w14:paraId="3F31C168" w14:textId="77777777" w:rsidR="007544E3" w:rsidRPr="0029408A" w:rsidRDefault="000318DC" w:rsidP="007544E3">
            <w:pPr>
              <w:rPr>
                <w:rFonts w:ascii="Times New Roman" w:hAnsi="Times New Roman"/>
                <w:color w:val="000000"/>
                <w:sz w:val="24"/>
                <w:szCs w:val="24"/>
                <w:lang w:val="en-GB"/>
              </w:rPr>
            </w:pPr>
            <w:r w:rsidRPr="0029408A">
              <w:rPr>
                <w:rFonts w:ascii="Times New Roman" w:hAnsi="Times New Roman"/>
                <w:color w:val="000000"/>
                <w:sz w:val="24"/>
                <w:szCs w:val="24"/>
                <w:lang w:val="en-GB"/>
              </w:rPr>
              <w:t>The unique identifier shall be indicated: e.g. CUSIP, ISN, or Bloomberg for private placements.</w:t>
            </w:r>
          </w:p>
          <w:p w14:paraId="72D597B5" w14:textId="77777777" w:rsidR="007544E3" w:rsidRPr="0029408A" w:rsidRDefault="000318DC" w:rsidP="007544E3">
            <w:pPr>
              <w:rPr>
                <w:rFonts w:ascii="Times New Roman" w:hAnsi="Times New Roman"/>
                <w:b/>
                <w:color w:val="000000"/>
                <w:sz w:val="24"/>
                <w:szCs w:val="24"/>
                <w:lang w:val="en-GB"/>
              </w:rPr>
            </w:pPr>
            <w:r w:rsidRPr="0029408A">
              <w:rPr>
                <w:rFonts w:ascii="Times New Roman" w:hAnsi="Times New Roman"/>
                <w:i/>
                <w:color w:val="000000"/>
                <w:sz w:val="24"/>
                <w:szCs w:val="24"/>
                <w:lang w:val="en-GB"/>
              </w:rPr>
              <w:t>(free text)</w:t>
            </w:r>
          </w:p>
        </w:tc>
      </w:tr>
      <w:tr w:rsidR="007544E3" w:rsidRPr="0029408A" w14:paraId="39578D27" w14:textId="77777777" w:rsidTr="0029408A">
        <w:tc>
          <w:tcPr>
            <w:tcW w:w="846" w:type="dxa"/>
            <w:shd w:val="clear" w:color="auto" w:fill="auto"/>
          </w:tcPr>
          <w:p w14:paraId="6EA790AE" w14:textId="77777777" w:rsidR="007544E3" w:rsidRPr="0029408A" w:rsidRDefault="007544E3" w:rsidP="0029408A">
            <w:pPr>
              <w:pStyle w:val="ListParagraph"/>
              <w:numPr>
                <w:ilvl w:val="0"/>
                <w:numId w:val="45"/>
              </w:numPr>
              <w:spacing w:after="160" w:line="259" w:lineRule="auto"/>
              <w:rPr>
                <w:color w:val="000000"/>
              </w:rPr>
            </w:pPr>
          </w:p>
        </w:tc>
        <w:tc>
          <w:tcPr>
            <w:tcW w:w="3685" w:type="dxa"/>
            <w:shd w:val="clear" w:color="auto" w:fill="auto"/>
          </w:tcPr>
          <w:p w14:paraId="2D665075" w14:textId="77777777" w:rsidR="007544E3" w:rsidRPr="0029408A" w:rsidRDefault="007544E3" w:rsidP="0029408A">
            <w:pPr>
              <w:spacing w:after="0" w:line="240" w:lineRule="auto"/>
              <w:rPr>
                <w:rFonts w:ascii="Times New Roman" w:hAnsi="Times New Roman"/>
                <w:sz w:val="24"/>
                <w:lang w:val="en-GB"/>
              </w:rPr>
            </w:pPr>
            <w:r w:rsidRPr="0029408A">
              <w:rPr>
                <w:rFonts w:ascii="Times New Roman" w:hAnsi="Times New Roman"/>
                <w:sz w:val="24"/>
                <w:lang w:val="en-GB"/>
              </w:rPr>
              <w:t>Legislation applicable to the instrument</w:t>
            </w:r>
          </w:p>
        </w:tc>
        <w:tc>
          <w:tcPr>
            <w:tcW w:w="5387" w:type="dxa"/>
            <w:shd w:val="clear" w:color="auto" w:fill="auto"/>
          </w:tcPr>
          <w:p w14:paraId="49296C0C" w14:textId="77777777" w:rsidR="007544E3" w:rsidRPr="0029408A" w:rsidRDefault="00605E70" w:rsidP="007544E3">
            <w:pPr>
              <w:rPr>
                <w:rFonts w:ascii="Times New Roman" w:hAnsi="Times New Roman"/>
                <w:i/>
                <w:color w:val="000000"/>
                <w:sz w:val="24"/>
                <w:szCs w:val="24"/>
                <w:lang w:val="en-GB"/>
              </w:rPr>
            </w:pPr>
            <w:r w:rsidRPr="0029408A">
              <w:rPr>
                <w:rFonts w:ascii="Times New Roman" w:hAnsi="Times New Roman"/>
                <w:color w:val="000000"/>
                <w:sz w:val="24"/>
                <w:szCs w:val="24"/>
                <w:lang w:val="en-GB"/>
              </w:rPr>
              <w:t>The legislation governing the instrument shall be indicated.</w:t>
            </w:r>
            <w:r w:rsidR="007544E3" w:rsidRPr="0029408A">
              <w:rPr>
                <w:rFonts w:ascii="Times New Roman" w:hAnsi="Times New Roman"/>
                <w:i/>
                <w:color w:val="000000"/>
                <w:sz w:val="24"/>
                <w:szCs w:val="24"/>
                <w:lang w:val="en-GB"/>
              </w:rPr>
              <w:t xml:space="preserve"> </w:t>
            </w:r>
          </w:p>
          <w:p w14:paraId="5522F681" w14:textId="77777777" w:rsidR="007544E3" w:rsidRPr="0029408A" w:rsidRDefault="000318DC" w:rsidP="007544E3">
            <w:pPr>
              <w:rPr>
                <w:rFonts w:ascii="Times New Roman" w:hAnsi="Times New Roman"/>
                <w:b/>
                <w:color w:val="000000"/>
                <w:sz w:val="24"/>
                <w:szCs w:val="24"/>
                <w:lang w:val="en-GB"/>
              </w:rPr>
            </w:pPr>
            <w:r w:rsidRPr="0029408A">
              <w:rPr>
                <w:rFonts w:ascii="Times New Roman" w:hAnsi="Times New Roman"/>
                <w:i/>
                <w:color w:val="000000"/>
                <w:sz w:val="24"/>
                <w:szCs w:val="24"/>
                <w:lang w:val="en-GB"/>
              </w:rPr>
              <w:t>(free text)</w:t>
            </w:r>
          </w:p>
        </w:tc>
      </w:tr>
      <w:tr w:rsidR="000F2B3E" w:rsidRPr="0029408A" w14:paraId="22B285BD" w14:textId="77777777" w:rsidTr="0029408A">
        <w:tc>
          <w:tcPr>
            <w:tcW w:w="846" w:type="dxa"/>
            <w:shd w:val="clear" w:color="auto" w:fill="auto"/>
          </w:tcPr>
          <w:p w14:paraId="6ECEE649" w14:textId="77777777" w:rsidR="00393560" w:rsidRPr="0029408A" w:rsidRDefault="00393560" w:rsidP="0029408A">
            <w:pPr>
              <w:pStyle w:val="ListParagraph"/>
              <w:spacing w:after="160" w:line="259" w:lineRule="auto"/>
              <w:rPr>
                <w:b/>
                <w:color w:val="000000"/>
              </w:rPr>
            </w:pPr>
          </w:p>
        </w:tc>
        <w:tc>
          <w:tcPr>
            <w:tcW w:w="3685" w:type="dxa"/>
            <w:shd w:val="clear" w:color="auto" w:fill="auto"/>
          </w:tcPr>
          <w:p w14:paraId="1265658D" w14:textId="77777777" w:rsidR="00393560" w:rsidRPr="0029408A" w:rsidRDefault="00C957A8" w:rsidP="006050BC">
            <w:pPr>
              <w:rPr>
                <w:rFonts w:ascii="Times New Roman" w:hAnsi="Times New Roman"/>
                <w:b/>
                <w:i/>
                <w:color w:val="000000"/>
                <w:sz w:val="24"/>
                <w:szCs w:val="24"/>
                <w:lang w:val="en-GB"/>
              </w:rPr>
            </w:pPr>
            <w:r w:rsidRPr="0029408A">
              <w:rPr>
                <w:rFonts w:ascii="Times New Roman" w:hAnsi="Times New Roman"/>
                <w:b/>
                <w:i/>
                <w:color w:val="000000"/>
                <w:sz w:val="24"/>
                <w:szCs w:val="24"/>
                <w:lang w:val="en-GB"/>
              </w:rPr>
              <w:t>Regulation</w:t>
            </w:r>
          </w:p>
        </w:tc>
        <w:tc>
          <w:tcPr>
            <w:tcW w:w="5387" w:type="dxa"/>
            <w:shd w:val="clear" w:color="auto" w:fill="auto"/>
          </w:tcPr>
          <w:p w14:paraId="56F57C68" w14:textId="77777777" w:rsidR="00393560" w:rsidRPr="0029408A" w:rsidRDefault="00393560" w:rsidP="006050BC">
            <w:pPr>
              <w:rPr>
                <w:rFonts w:ascii="Times New Roman" w:hAnsi="Times New Roman"/>
                <w:b/>
                <w:color w:val="000000"/>
                <w:sz w:val="24"/>
                <w:szCs w:val="24"/>
                <w:lang w:val="en-GB"/>
              </w:rPr>
            </w:pPr>
          </w:p>
        </w:tc>
      </w:tr>
      <w:tr w:rsidR="000F2B3E" w:rsidRPr="0029408A" w14:paraId="72F53DB1" w14:textId="77777777" w:rsidTr="0029408A">
        <w:tc>
          <w:tcPr>
            <w:tcW w:w="846" w:type="dxa"/>
            <w:shd w:val="clear" w:color="auto" w:fill="auto"/>
          </w:tcPr>
          <w:p w14:paraId="35C162FA"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56FED6F4" w14:textId="77777777" w:rsidR="00393560" w:rsidRPr="0029408A" w:rsidRDefault="00C957A8"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Treatment of regulated own funds</w:t>
            </w:r>
          </w:p>
        </w:tc>
        <w:tc>
          <w:tcPr>
            <w:tcW w:w="5387" w:type="dxa"/>
            <w:shd w:val="clear" w:color="auto" w:fill="auto"/>
          </w:tcPr>
          <w:p w14:paraId="09892915" w14:textId="77777777" w:rsidR="00393560" w:rsidRPr="0029408A" w:rsidRDefault="008C2550"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The treatment of regulated own funds under Regulation no. 109/2018 shall be specified.</w:t>
            </w:r>
          </w:p>
          <w:p w14:paraId="6DF9C751" w14:textId="77777777" w:rsidR="00393560" w:rsidRPr="0029408A" w:rsidRDefault="00445131"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It shall be indicated</w:t>
            </w:r>
            <w:r w:rsidR="00393560" w:rsidRPr="0029408A">
              <w:rPr>
                <w:rFonts w:ascii="Times New Roman" w:hAnsi="Times New Roman"/>
                <w:color w:val="000000"/>
                <w:sz w:val="24"/>
                <w:szCs w:val="24"/>
                <w:lang w:val="en-GB"/>
              </w:rPr>
              <w:t xml:space="preserve"> </w:t>
            </w:r>
          </w:p>
          <w:p w14:paraId="22607393" w14:textId="77777777" w:rsidR="00393560" w:rsidRPr="0029408A" w:rsidRDefault="00393560" w:rsidP="0029408A">
            <w:pPr>
              <w:pStyle w:val="ListParagraph"/>
              <w:numPr>
                <w:ilvl w:val="0"/>
                <w:numId w:val="11"/>
              </w:numPr>
              <w:tabs>
                <w:tab w:val="left" w:pos="353"/>
              </w:tabs>
              <w:spacing w:after="160" w:line="259" w:lineRule="auto"/>
              <w:rPr>
                <w:color w:val="000000"/>
              </w:rPr>
            </w:pPr>
            <w:r w:rsidRPr="0029408A">
              <w:rPr>
                <w:color w:val="000000"/>
              </w:rPr>
              <w:t>„</w:t>
            </w:r>
            <w:r w:rsidR="00445131" w:rsidRPr="00CC4CEB">
              <w:t xml:space="preserve"> </w:t>
            </w:r>
            <w:r w:rsidR="00445131" w:rsidRPr="0029408A">
              <w:rPr>
                <w:color w:val="000000"/>
              </w:rPr>
              <w:t>Common Equity Tier 1 capital</w:t>
            </w:r>
            <w:r w:rsidRPr="0029408A">
              <w:rPr>
                <w:color w:val="000000"/>
              </w:rPr>
              <w:t>”,</w:t>
            </w:r>
          </w:p>
          <w:p w14:paraId="693E9FB3" w14:textId="77777777" w:rsidR="00393560" w:rsidRPr="0029408A" w:rsidRDefault="00393560" w:rsidP="0029408A">
            <w:pPr>
              <w:pStyle w:val="ListParagraph"/>
              <w:numPr>
                <w:ilvl w:val="0"/>
                <w:numId w:val="11"/>
              </w:numPr>
              <w:tabs>
                <w:tab w:val="left" w:pos="353"/>
              </w:tabs>
              <w:spacing w:after="160" w:line="259" w:lineRule="auto"/>
              <w:rPr>
                <w:color w:val="000000"/>
              </w:rPr>
            </w:pPr>
            <w:r w:rsidRPr="0029408A">
              <w:rPr>
                <w:color w:val="000000"/>
              </w:rPr>
              <w:t>„</w:t>
            </w:r>
            <w:r w:rsidR="00445131" w:rsidRPr="00CC4CEB">
              <w:t xml:space="preserve"> </w:t>
            </w:r>
            <w:r w:rsidR="00445131" w:rsidRPr="0029408A">
              <w:rPr>
                <w:color w:val="000000"/>
              </w:rPr>
              <w:t>Additional Equity Tier 1 capital</w:t>
            </w:r>
            <w:r w:rsidRPr="0029408A">
              <w:rPr>
                <w:color w:val="000000"/>
              </w:rPr>
              <w:t>”,</w:t>
            </w:r>
          </w:p>
          <w:p w14:paraId="228172F1" w14:textId="77777777" w:rsidR="00393560" w:rsidRPr="0029408A" w:rsidRDefault="00393560" w:rsidP="0029408A">
            <w:pPr>
              <w:pStyle w:val="ListParagraph"/>
              <w:numPr>
                <w:ilvl w:val="0"/>
                <w:numId w:val="11"/>
              </w:numPr>
              <w:tabs>
                <w:tab w:val="left" w:pos="353"/>
              </w:tabs>
              <w:spacing w:after="160" w:line="259" w:lineRule="auto"/>
              <w:ind w:left="31" w:firstLine="0"/>
              <w:rPr>
                <w:color w:val="000000"/>
              </w:rPr>
            </w:pPr>
            <w:r w:rsidRPr="0029408A">
              <w:rPr>
                <w:color w:val="000000"/>
              </w:rPr>
              <w:t>„</w:t>
            </w:r>
            <w:r w:rsidR="00445131" w:rsidRPr="0029408A">
              <w:rPr>
                <w:color w:val="000000"/>
              </w:rPr>
              <w:t xml:space="preserve"> Equity Tier 2 capital</w:t>
            </w:r>
            <w:r w:rsidRPr="0029408A">
              <w:rPr>
                <w:color w:val="000000"/>
              </w:rPr>
              <w:t>”,</w:t>
            </w:r>
          </w:p>
          <w:p w14:paraId="5B234404" w14:textId="77777777" w:rsidR="00393560" w:rsidRPr="0029408A" w:rsidRDefault="00393560" w:rsidP="0029408A">
            <w:pPr>
              <w:pStyle w:val="ListParagraph"/>
              <w:numPr>
                <w:ilvl w:val="0"/>
                <w:numId w:val="11"/>
              </w:numPr>
              <w:tabs>
                <w:tab w:val="left" w:pos="353"/>
              </w:tabs>
              <w:spacing w:after="160" w:line="259" w:lineRule="auto"/>
              <w:rPr>
                <w:color w:val="000000"/>
              </w:rPr>
            </w:pPr>
            <w:r w:rsidRPr="0029408A">
              <w:rPr>
                <w:color w:val="000000"/>
              </w:rPr>
              <w:lastRenderedPageBreak/>
              <w:t>„</w:t>
            </w:r>
            <w:r w:rsidR="00445131" w:rsidRPr="00CC4CEB">
              <w:t xml:space="preserve"> </w:t>
            </w:r>
            <w:r w:rsidR="00445131" w:rsidRPr="0029408A">
              <w:rPr>
                <w:color w:val="000000"/>
              </w:rPr>
              <w:t>ineligible</w:t>
            </w:r>
            <w:r w:rsidRPr="0029408A">
              <w:rPr>
                <w:color w:val="000000"/>
              </w:rPr>
              <w:t>”.</w:t>
            </w:r>
          </w:p>
        </w:tc>
      </w:tr>
      <w:tr w:rsidR="000F2B3E" w:rsidRPr="0029408A" w14:paraId="0B61C67A" w14:textId="77777777" w:rsidTr="0029408A">
        <w:tc>
          <w:tcPr>
            <w:tcW w:w="846" w:type="dxa"/>
            <w:shd w:val="clear" w:color="auto" w:fill="auto"/>
          </w:tcPr>
          <w:p w14:paraId="454CB340"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2A857325" w14:textId="77777777" w:rsidR="00393560" w:rsidRPr="0029408A" w:rsidRDefault="003D0240"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Eligible at individual / consolidated / individual and consolidated level</w:t>
            </w:r>
          </w:p>
        </w:tc>
        <w:tc>
          <w:tcPr>
            <w:tcW w:w="5387" w:type="dxa"/>
            <w:shd w:val="clear" w:color="auto" w:fill="auto"/>
          </w:tcPr>
          <w:p w14:paraId="5C9F2490" w14:textId="77777777" w:rsidR="00393560" w:rsidRPr="0029408A" w:rsidRDefault="00806463"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The level (s) within the group at which the instrument is included in own funds shall be indicated:</w:t>
            </w:r>
          </w:p>
          <w:p w14:paraId="604A8526" w14:textId="77777777" w:rsidR="00393560" w:rsidRPr="0029408A" w:rsidRDefault="00393560" w:rsidP="0029408A">
            <w:pPr>
              <w:pStyle w:val="ListParagraph"/>
              <w:tabs>
                <w:tab w:val="left" w:pos="426"/>
              </w:tabs>
              <w:spacing w:after="160" w:line="259" w:lineRule="auto"/>
              <w:ind w:left="0"/>
              <w:jc w:val="both"/>
              <w:rPr>
                <w:rFonts w:eastAsia="Calibri"/>
                <w:color w:val="000000"/>
              </w:rPr>
            </w:pPr>
            <w:r w:rsidRPr="0029408A">
              <w:rPr>
                <w:color w:val="000000"/>
              </w:rPr>
              <w:t>- „individual</w:t>
            </w:r>
            <w:r w:rsidRPr="0029408A">
              <w:rPr>
                <w:rFonts w:eastAsia="Calibri"/>
                <w:color w:val="000000"/>
              </w:rPr>
              <w:t xml:space="preserve">”, </w:t>
            </w:r>
          </w:p>
          <w:p w14:paraId="25E2DEAB" w14:textId="77777777" w:rsidR="00393560" w:rsidRPr="0029408A" w:rsidRDefault="00393560" w:rsidP="0029408A">
            <w:pPr>
              <w:pStyle w:val="ListParagraph"/>
              <w:tabs>
                <w:tab w:val="left" w:pos="426"/>
              </w:tabs>
              <w:spacing w:after="160" w:line="259" w:lineRule="auto"/>
              <w:ind w:left="0"/>
              <w:jc w:val="both"/>
              <w:rPr>
                <w:rFonts w:eastAsia="Calibri"/>
                <w:color w:val="000000"/>
              </w:rPr>
            </w:pPr>
            <w:r w:rsidRPr="0029408A">
              <w:rPr>
                <w:rFonts w:eastAsia="Calibri"/>
                <w:color w:val="000000"/>
              </w:rPr>
              <w:t>- „</w:t>
            </w:r>
            <w:proofErr w:type="gramStart"/>
            <w:r w:rsidRPr="0029408A">
              <w:rPr>
                <w:rFonts w:eastAsia="Calibri"/>
                <w:color w:val="000000"/>
              </w:rPr>
              <w:t>consolidat</w:t>
            </w:r>
            <w:r w:rsidR="00806463" w:rsidRPr="0029408A">
              <w:rPr>
                <w:rFonts w:eastAsia="Calibri"/>
                <w:color w:val="000000"/>
              </w:rPr>
              <w:t>ed</w:t>
            </w:r>
            <w:r w:rsidRPr="0029408A">
              <w:rPr>
                <w:rFonts w:eastAsia="Calibri"/>
                <w:color w:val="000000"/>
              </w:rPr>
              <w:t xml:space="preserve">”  </w:t>
            </w:r>
            <w:r w:rsidR="00806463" w:rsidRPr="0029408A">
              <w:rPr>
                <w:rFonts w:eastAsia="Calibri"/>
                <w:color w:val="000000"/>
              </w:rPr>
              <w:t>or</w:t>
            </w:r>
            <w:proofErr w:type="gramEnd"/>
            <w:r w:rsidRPr="0029408A">
              <w:rPr>
                <w:rFonts w:eastAsia="Calibri"/>
                <w:color w:val="000000"/>
              </w:rPr>
              <w:t xml:space="preserve"> </w:t>
            </w:r>
          </w:p>
          <w:p w14:paraId="0B851420" w14:textId="77777777" w:rsidR="00393560" w:rsidRPr="0029408A" w:rsidRDefault="00806463" w:rsidP="0029408A">
            <w:pPr>
              <w:pStyle w:val="ListParagraph"/>
              <w:tabs>
                <w:tab w:val="left" w:pos="426"/>
              </w:tabs>
              <w:spacing w:after="160" w:line="259" w:lineRule="auto"/>
              <w:ind w:left="0"/>
              <w:jc w:val="both"/>
              <w:rPr>
                <w:b/>
                <w:color w:val="000000"/>
              </w:rPr>
            </w:pPr>
            <w:proofErr w:type="gramStart"/>
            <w:r w:rsidRPr="0029408A">
              <w:rPr>
                <w:rFonts w:eastAsia="Calibri"/>
                <w:color w:val="000000"/>
              </w:rPr>
              <w:t>- ”individual</w:t>
            </w:r>
            <w:proofErr w:type="gramEnd"/>
            <w:r w:rsidRPr="0029408A">
              <w:rPr>
                <w:rFonts w:eastAsia="Calibri"/>
                <w:color w:val="000000"/>
              </w:rPr>
              <w:t xml:space="preserve"> and</w:t>
            </w:r>
            <w:r w:rsidR="00393560" w:rsidRPr="0029408A">
              <w:rPr>
                <w:rFonts w:eastAsia="Calibri"/>
                <w:color w:val="000000"/>
              </w:rPr>
              <w:t xml:space="preserve"> consolidat</w:t>
            </w:r>
            <w:r w:rsidRPr="0029408A">
              <w:rPr>
                <w:rFonts w:eastAsia="Calibri"/>
                <w:color w:val="000000"/>
              </w:rPr>
              <w:t>ed</w:t>
            </w:r>
            <w:r w:rsidR="00393560" w:rsidRPr="0029408A">
              <w:rPr>
                <w:color w:val="000000"/>
              </w:rPr>
              <w:t>”.</w:t>
            </w:r>
          </w:p>
        </w:tc>
      </w:tr>
      <w:tr w:rsidR="000F2B3E" w:rsidRPr="0029408A" w14:paraId="4B29E887" w14:textId="77777777" w:rsidTr="0029408A">
        <w:tc>
          <w:tcPr>
            <w:tcW w:w="846" w:type="dxa"/>
            <w:shd w:val="clear" w:color="auto" w:fill="auto"/>
          </w:tcPr>
          <w:p w14:paraId="4107E84C"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67678B5E" w14:textId="77777777" w:rsidR="00393560" w:rsidRPr="0029408A" w:rsidRDefault="00832884"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Type of instrument</w:t>
            </w:r>
          </w:p>
        </w:tc>
        <w:tc>
          <w:tcPr>
            <w:tcW w:w="5387" w:type="dxa"/>
            <w:shd w:val="clear" w:color="auto" w:fill="auto"/>
          </w:tcPr>
          <w:p w14:paraId="0A5A743C" w14:textId="77777777" w:rsidR="00393560" w:rsidRPr="0029408A" w:rsidRDefault="00832884"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The type of instrument including the references to the respective points of Regulation 109/2018 shall be specified.</w:t>
            </w:r>
          </w:p>
        </w:tc>
      </w:tr>
      <w:tr w:rsidR="000F2B3E" w:rsidRPr="0029408A" w14:paraId="15F5D9A3" w14:textId="77777777" w:rsidTr="0029408A">
        <w:tc>
          <w:tcPr>
            <w:tcW w:w="846" w:type="dxa"/>
            <w:shd w:val="clear" w:color="auto" w:fill="auto"/>
          </w:tcPr>
          <w:p w14:paraId="21CA6EDE"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6E0BFCBC" w14:textId="77777777" w:rsidR="00393560" w:rsidRPr="0029408A" w:rsidRDefault="007329CD"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Recognized value under regulated capital (currency in millions at the most recent reporting date)</w:t>
            </w:r>
          </w:p>
        </w:tc>
        <w:tc>
          <w:tcPr>
            <w:tcW w:w="5387" w:type="dxa"/>
            <w:shd w:val="clear" w:color="auto" w:fill="auto"/>
          </w:tcPr>
          <w:p w14:paraId="5CEB9A14" w14:textId="77777777" w:rsidR="00393560" w:rsidRPr="0029408A" w:rsidRDefault="00CE6D07"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The value recognized in the regulated capital shall be indicated.</w:t>
            </w:r>
          </w:p>
          <w:p w14:paraId="5582CCC1" w14:textId="77777777" w:rsidR="00393560" w:rsidRPr="0029408A" w:rsidRDefault="00CE6D07" w:rsidP="006050BC">
            <w:pPr>
              <w:rPr>
                <w:rFonts w:ascii="Times New Roman" w:hAnsi="Times New Roman"/>
                <w:color w:val="000000"/>
                <w:sz w:val="24"/>
                <w:szCs w:val="24"/>
                <w:lang w:val="en-GB"/>
              </w:rPr>
            </w:pPr>
            <w:r w:rsidRPr="0029408A">
              <w:rPr>
                <w:rFonts w:ascii="Times New Roman" w:hAnsi="Times New Roman"/>
                <w:i/>
                <w:color w:val="000000"/>
                <w:sz w:val="24"/>
                <w:szCs w:val="24"/>
                <w:lang w:val="en-GB"/>
              </w:rPr>
              <w:t>(free text)</w:t>
            </w:r>
          </w:p>
        </w:tc>
      </w:tr>
      <w:tr w:rsidR="000F2B3E" w:rsidRPr="0029408A" w14:paraId="676E5147" w14:textId="77777777" w:rsidTr="0029408A">
        <w:tc>
          <w:tcPr>
            <w:tcW w:w="846" w:type="dxa"/>
            <w:shd w:val="clear" w:color="auto" w:fill="auto"/>
          </w:tcPr>
          <w:p w14:paraId="13AB0DAC"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24382F97" w14:textId="77777777" w:rsidR="00393560" w:rsidRPr="0029408A" w:rsidRDefault="00175F22"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The nominal value of the instrument</w:t>
            </w:r>
          </w:p>
        </w:tc>
        <w:tc>
          <w:tcPr>
            <w:tcW w:w="5387" w:type="dxa"/>
            <w:shd w:val="clear" w:color="auto" w:fill="auto"/>
          </w:tcPr>
          <w:p w14:paraId="1A867EDC" w14:textId="77777777" w:rsidR="00393560" w:rsidRPr="0029408A" w:rsidRDefault="00175F22"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The nominal value of the instrument (in the currency of issue and in the currency used for the reporting obligations) shall be indicated.</w:t>
            </w:r>
            <w:r w:rsidR="00393560" w:rsidRPr="0029408A">
              <w:rPr>
                <w:rFonts w:ascii="Times New Roman" w:hAnsi="Times New Roman"/>
                <w:color w:val="000000"/>
                <w:sz w:val="24"/>
                <w:szCs w:val="24"/>
                <w:lang w:val="en-GB"/>
              </w:rPr>
              <w:t xml:space="preserve"> </w:t>
            </w:r>
          </w:p>
          <w:p w14:paraId="34BD90F2" w14:textId="77777777" w:rsidR="00393560" w:rsidRPr="0029408A" w:rsidRDefault="00CE6D07" w:rsidP="006050BC">
            <w:pPr>
              <w:rPr>
                <w:rFonts w:ascii="Times New Roman" w:hAnsi="Times New Roman"/>
                <w:color w:val="000000"/>
                <w:sz w:val="24"/>
                <w:szCs w:val="24"/>
                <w:lang w:val="en-GB"/>
              </w:rPr>
            </w:pPr>
            <w:r w:rsidRPr="0029408A">
              <w:rPr>
                <w:rFonts w:ascii="Times New Roman" w:hAnsi="Times New Roman"/>
                <w:i/>
                <w:color w:val="000000"/>
                <w:sz w:val="24"/>
                <w:szCs w:val="24"/>
                <w:lang w:val="en-GB"/>
              </w:rPr>
              <w:t>(free text)</w:t>
            </w:r>
          </w:p>
        </w:tc>
      </w:tr>
      <w:tr w:rsidR="000F2B3E" w:rsidRPr="0029408A" w14:paraId="5993FC3B" w14:textId="77777777" w:rsidTr="0029408A">
        <w:tc>
          <w:tcPr>
            <w:tcW w:w="846" w:type="dxa"/>
            <w:shd w:val="clear" w:color="auto" w:fill="auto"/>
          </w:tcPr>
          <w:p w14:paraId="0E3107EF"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0A0A07F6" w14:textId="77777777" w:rsidR="00393560" w:rsidRPr="0029408A" w:rsidRDefault="00DD0EDE"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Issue price</w:t>
            </w:r>
          </w:p>
        </w:tc>
        <w:tc>
          <w:tcPr>
            <w:tcW w:w="5387" w:type="dxa"/>
            <w:shd w:val="clear" w:color="auto" w:fill="auto"/>
          </w:tcPr>
          <w:p w14:paraId="3DE01B52" w14:textId="77777777" w:rsidR="00393560" w:rsidRPr="0029408A" w:rsidRDefault="00DD0EDE"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The issue price of the instrument shall be indicated</w:t>
            </w:r>
            <w:r w:rsidR="005A6C04" w:rsidRPr="0029408A">
              <w:rPr>
                <w:rFonts w:ascii="Times New Roman" w:hAnsi="Times New Roman"/>
                <w:color w:val="000000"/>
                <w:sz w:val="24"/>
                <w:szCs w:val="24"/>
                <w:lang w:val="en-GB"/>
              </w:rPr>
              <w:t>.</w:t>
            </w:r>
          </w:p>
          <w:p w14:paraId="5984E00B" w14:textId="77777777" w:rsidR="00393560" w:rsidRPr="0029408A" w:rsidRDefault="00CE6D07" w:rsidP="006050BC">
            <w:pPr>
              <w:rPr>
                <w:rFonts w:ascii="Times New Roman" w:hAnsi="Times New Roman"/>
                <w:i/>
                <w:color w:val="000000"/>
                <w:sz w:val="24"/>
                <w:szCs w:val="24"/>
                <w:lang w:val="en-GB"/>
              </w:rPr>
            </w:pPr>
            <w:r w:rsidRPr="0029408A">
              <w:rPr>
                <w:rFonts w:ascii="Times New Roman" w:hAnsi="Times New Roman"/>
                <w:i/>
                <w:color w:val="000000"/>
                <w:sz w:val="24"/>
                <w:szCs w:val="24"/>
                <w:lang w:val="en-GB"/>
              </w:rPr>
              <w:t>(free text)</w:t>
            </w:r>
          </w:p>
        </w:tc>
      </w:tr>
      <w:tr w:rsidR="000F2B3E" w:rsidRPr="0029408A" w14:paraId="0C7C63AB" w14:textId="77777777" w:rsidTr="0029408A">
        <w:tc>
          <w:tcPr>
            <w:tcW w:w="846" w:type="dxa"/>
            <w:shd w:val="clear" w:color="auto" w:fill="auto"/>
          </w:tcPr>
          <w:p w14:paraId="1D405567"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48190E75" w14:textId="77777777" w:rsidR="00393560" w:rsidRPr="0029408A" w:rsidRDefault="00DD0EDE"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Redemption price</w:t>
            </w:r>
          </w:p>
        </w:tc>
        <w:tc>
          <w:tcPr>
            <w:tcW w:w="5387" w:type="dxa"/>
            <w:shd w:val="clear" w:color="auto" w:fill="auto"/>
          </w:tcPr>
          <w:p w14:paraId="044C87A2" w14:textId="77777777" w:rsidR="00393560" w:rsidRPr="0029408A" w:rsidRDefault="00DD0EDE"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The redemption price of the instrument shall be indicated</w:t>
            </w:r>
            <w:r w:rsidR="005A6C04" w:rsidRPr="0029408A">
              <w:rPr>
                <w:rFonts w:ascii="Times New Roman" w:hAnsi="Times New Roman"/>
                <w:color w:val="000000"/>
                <w:sz w:val="24"/>
                <w:szCs w:val="24"/>
                <w:lang w:val="en-GB"/>
              </w:rPr>
              <w:t>.</w:t>
            </w:r>
          </w:p>
          <w:p w14:paraId="06FBFF43" w14:textId="77777777" w:rsidR="00393560" w:rsidRPr="0029408A" w:rsidRDefault="00CE6D07" w:rsidP="006050BC">
            <w:pPr>
              <w:rPr>
                <w:rFonts w:ascii="Times New Roman" w:hAnsi="Times New Roman"/>
                <w:color w:val="000000"/>
                <w:sz w:val="24"/>
                <w:szCs w:val="24"/>
                <w:lang w:val="en-GB"/>
              </w:rPr>
            </w:pPr>
            <w:r w:rsidRPr="0029408A">
              <w:rPr>
                <w:rFonts w:ascii="Times New Roman" w:hAnsi="Times New Roman"/>
                <w:i/>
                <w:color w:val="000000"/>
                <w:sz w:val="24"/>
                <w:szCs w:val="24"/>
                <w:lang w:val="en-GB"/>
              </w:rPr>
              <w:t>(free text)</w:t>
            </w:r>
          </w:p>
        </w:tc>
      </w:tr>
      <w:tr w:rsidR="000F2B3E" w:rsidRPr="0029408A" w14:paraId="4F671C2F" w14:textId="77777777" w:rsidTr="0029408A">
        <w:tc>
          <w:tcPr>
            <w:tcW w:w="846" w:type="dxa"/>
            <w:shd w:val="clear" w:color="auto" w:fill="auto"/>
          </w:tcPr>
          <w:p w14:paraId="1B083EB0"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265995D2" w14:textId="77777777" w:rsidR="00393560" w:rsidRPr="0029408A" w:rsidRDefault="00DD0EDE"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Accounting classification</w:t>
            </w:r>
          </w:p>
        </w:tc>
        <w:tc>
          <w:tcPr>
            <w:tcW w:w="5387" w:type="dxa"/>
            <w:shd w:val="clear" w:color="auto" w:fill="auto"/>
          </w:tcPr>
          <w:p w14:paraId="55D54F63" w14:textId="77777777" w:rsidR="00393560" w:rsidRPr="0029408A" w:rsidRDefault="00C87940" w:rsidP="0029408A">
            <w:pPr>
              <w:pStyle w:val="ListParagraph"/>
              <w:tabs>
                <w:tab w:val="left" w:pos="353"/>
              </w:tabs>
              <w:spacing w:after="160" w:line="259" w:lineRule="auto"/>
              <w:ind w:left="31"/>
              <w:rPr>
                <w:color w:val="000000"/>
              </w:rPr>
            </w:pPr>
            <w:r w:rsidRPr="0029408A">
              <w:rPr>
                <w:color w:val="000000"/>
              </w:rPr>
              <w:t>The accounting classification shall be indicated:</w:t>
            </w:r>
          </w:p>
          <w:p w14:paraId="73536859" w14:textId="77777777" w:rsidR="00393560" w:rsidRPr="0029408A" w:rsidRDefault="00393560" w:rsidP="0029408A">
            <w:pPr>
              <w:pStyle w:val="ListParagraph"/>
              <w:numPr>
                <w:ilvl w:val="0"/>
                <w:numId w:val="11"/>
              </w:numPr>
              <w:tabs>
                <w:tab w:val="left" w:pos="353"/>
              </w:tabs>
              <w:spacing w:after="160" w:line="259" w:lineRule="auto"/>
              <w:rPr>
                <w:color w:val="000000"/>
              </w:rPr>
            </w:pPr>
            <w:r w:rsidRPr="0029408A">
              <w:rPr>
                <w:color w:val="000000"/>
              </w:rPr>
              <w:t>„</w:t>
            </w:r>
            <w:r w:rsidR="00C87940" w:rsidRPr="00CC4CEB">
              <w:t xml:space="preserve"> </w:t>
            </w:r>
            <w:r w:rsidR="00C87940" w:rsidRPr="0029408A">
              <w:rPr>
                <w:color w:val="000000"/>
              </w:rPr>
              <w:t>shareholders' capital</w:t>
            </w:r>
            <w:proofErr w:type="gramStart"/>
            <w:r w:rsidRPr="0029408A">
              <w:rPr>
                <w:color w:val="000000"/>
              </w:rPr>
              <w:t>”;</w:t>
            </w:r>
            <w:proofErr w:type="gramEnd"/>
          </w:p>
          <w:p w14:paraId="61D700F0" w14:textId="77777777" w:rsidR="00393560" w:rsidRPr="0029408A" w:rsidRDefault="00393560" w:rsidP="0029408A">
            <w:pPr>
              <w:pStyle w:val="ListParagraph"/>
              <w:numPr>
                <w:ilvl w:val="0"/>
                <w:numId w:val="11"/>
              </w:numPr>
              <w:tabs>
                <w:tab w:val="left" w:pos="353"/>
              </w:tabs>
              <w:spacing w:after="160" w:line="259" w:lineRule="auto"/>
              <w:rPr>
                <w:color w:val="000000"/>
              </w:rPr>
            </w:pPr>
            <w:r w:rsidRPr="0029408A">
              <w:rPr>
                <w:color w:val="000000"/>
              </w:rPr>
              <w:t>„</w:t>
            </w:r>
            <w:r w:rsidR="00C87940" w:rsidRPr="00CC4CEB">
              <w:t xml:space="preserve"> </w:t>
            </w:r>
            <w:proofErr w:type="gramStart"/>
            <w:r w:rsidR="00C87940" w:rsidRPr="0029408A">
              <w:rPr>
                <w:color w:val="000000"/>
              </w:rPr>
              <w:t>debts</w:t>
            </w:r>
            <w:proofErr w:type="gramEnd"/>
            <w:r w:rsidR="00C87940" w:rsidRPr="0029408A">
              <w:rPr>
                <w:color w:val="000000"/>
              </w:rPr>
              <w:t xml:space="preserve"> - amortized costs</w:t>
            </w:r>
            <w:proofErr w:type="gramStart"/>
            <w:r w:rsidRPr="0029408A">
              <w:rPr>
                <w:color w:val="000000"/>
              </w:rPr>
              <w:t>”;</w:t>
            </w:r>
            <w:proofErr w:type="gramEnd"/>
          </w:p>
          <w:p w14:paraId="104BD287" w14:textId="77777777" w:rsidR="00393560" w:rsidRPr="0029408A" w:rsidRDefault="00393560" w:rsidP="0029408A">
            <w:pPr>
              <w:pStyle w:val="ListParagraph"/>
              <w:numPr>
                <w:ilvl w:val="0"/>
                <w:numId w:val="11"/>
              </w:numPr>
              <w:tabs>
                <w:tab w:val="left" w:pos="353"/>
              </w:tabs>
              <w:spacing w:after="160" w:line="259" w:lineRule="auto"/>
              <w:rPr>
                <w:color w:val="000000"/>
              </w:rPr>
            </w:pPr>
            <w:r w:rsidRPr="0029408A">
              <w:rPr>
                <w:color w:val="000000"/>
              </w:rPr>
              <w:t>„</w:t>
            </w:r>
            <w:r w:rsidR="00C87940" w:rsidRPr="00CC4CEB">
              <w:t xml:space="preserve"> </w:t>
            </w:r>
            <w:proofErr w:type="gramStart"/>
            <w:r w:rsidR="00C87940" w:rsidRPr="0029408A">
              <w:rPr>
                <w:color w:val="000000"/>
              </w:rPr>
              <w:t>debt</w:t>
            </w:r>
            <w:proofErr w:type="gramEnd"/>
            <w:r w:rsidR="00C87940" w:rsidRPr="0029408A">
              <w:rPr>
                <w:color w:val="000000"/>
              </w:rPr>
              <w:t xml:space="preserve"> - fair value measurement option</w:t>
            </w:r>
            <w:proofErr w:type="gramStart"/>
            <w:r w:rsidRPr="0029408A">
              <w:rPr>
                <w:color w:val="000000"/>
              </w:rPr>
              <w:t>”;</w:t>
            </w:r>
            <w:proofErr w:type="gramEnd"/>
          </w:p>
          <w:p w14:paraId="47D848A1" w14:textId="77777777" w:rsidR="00393560" w:rsidRPr="0029408A" w:rsidRDefault="00393560" w:rsidP="0029408A">
            <w:pPr>
              <w:pStyle w:val="ListParagraph"/>
              <w:numPr>
                <w:ilvl w:val="0"/>
                <w:numId w:val="11"/>
              </w:numPr>
              <w:tabs>
                <w:tab w:val="left" w:pos="353"/>
              </w:tabs>
              <w:spacing w:after="160" w:line="259" w:lineRule="auto"/>
              <w:rPr>
                <w:color w:val="000000"/>
              </w:rPr>
            </w:pPr>
            <w:r w:rsidRPr="0029408A">
              <w:rPr>
                <w:color w:val="000000"/>
              </w:rPr>
              <w:t>„</w:t>
            </w:r>
            <w:r w:rsidR="00C87940" w:rsidRPr="00CC4CEB">
              <w:t xml:space="preserve"> </w:t>
            </w:r>
            <w:proofErr w:type="gramStart"/>
            <w:r w:rsidR="00C87940" w:rsidRPr="0029408A">
              <w:rPr>
                <w:color w:val="000000"/>
              </w:rPr>
              <w:t>minority</w:t>
            </w:r>
            <w:proofErr w:type="gramEnd"/>
            <w:r w:rsidR="00C87940" w:rsidRPr="0029408A">
              <w:rPr>
                <w:color w:val="000000"/>
              </w:rPr>
              <w:t xml:space="preserve"> interests in a consolidated subsidiary</w:t>
            </w:r>
            <w:r w:rsidRPr="0029408A">
              <w:rPr>
                <w:color w:val="000000"/>
              </w:rPr>
              <w:t>”.</w:t>
            </w:r>
          </w:p>
        </w:tc>
      </w:tr>
      <w:tr w:rsidR="000F2B3E" w:rsidRPr="0029408A" w14:paraId="1562FE72" w14:textId="77777777" w:rsidTr="0029408A">
        <w:tc>
          <w:tcPr>
            <w:tcW w:w="846" w:type="dxa"/>
            <w:shd w:val="clear" w:color="auto" w:fill="auto"/>
          </w:tcPr>
          <w:p w14:paraId="41B10CCB"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404499CB" w14:textId="77777777" w:rsidR="00393560" w:rsidRPr="0029408A" w:rsidRDefault="00DD0EDE"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Initial date of issue</w:t>
            </w:r>
          </w:p>
        </w:tc>
        <w:tc>
          <w:tcPr>
            <w:tcW w:w="5387" w:type="dxa"/>
            <w:shd w:val="clear" w:color="auto" w:fill="auto"/>
          </w:tcPr>
          <w:p w14:paraId="22CCD69E" w14:textId="77777777" w:rsidR="00393560" w:rsidRPr="0029408A" w:rsidRDefault="00476123"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The original date of issue shall be specified</w:t>
            </w:r>
            <w:r w:rsidR="00393560" w:rsidRPr="0029408A">
              <w:rPr>
                <w:rFonts w:ascii="Times New Roman" w:hAnsi="Times New Roman"/>
                <w:color w:val="000000"/>
                <w:sz w:val="24"/>
                <w:szCs w:val="24"/>
                <w:lang w:val="en-GB"/>
              </w:rPr>
              <w:t>.</w:t>
            </w:r>
          </w:p>
          <w:p w14:paraId="27522505" w14:textId="77777777" w:rsidR="00393560" w:rsidRPr="0029408A" w:rsidRDefault="00F45D88" w:rsidP="006050BC">
            <w:pPr>
              <w:rPr>
                <w:rFonts w:ascii="Times New Roman" w:hAnsi="Times New Roman"/>
                <w:color w:val="000000"/>
                <w:sz w:val="24"/>
                <w:szCs w:val="24"/>
                <w:lang w:val="en-GB"/>
              </w:rPr>
            </w:pPr>
            <w:r w:rsidRPr="0029408A">
              <w:rPr>
                <w:rFonts w:ascii="Times New Roman" w:hAnsi="Times New Roman"/>
                <w:i/>
                <w:color w:val="000000"/>
                <w:sz w:val="24"/>
                <w:szCs w:val="24"/>
                <w:lang w:val="en-GB"/>
              </w:rPr>
              <w:t>(free text)</w:t>
            </w:r>
          </w:p>
        </w:tc>
      </w:tr>
      <w:tr w:rsidR="000F2B3E" w:rsidRPr="0029408A" w14:paraId="4639397A" w14:textId="77777777" w:rsidTr="0029408A">
        <w:tc>
          <w:tcPr>
            <w:tcW w:w="846" w:type="dxa"/>
            <w:shd w:val="clear" w:color="auto" w:fill="auto"/>
          </w:tcPr>
          <w:p w14:paraId="11C815C9"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43F8869A" w14:textId="77777777" w:rsidR="00393560" w:rsidRPr="0029408A" w:rsidRDefault="00DD0EDE"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Perpetual or </w:t>
            </w:r>
            <w:proofErr w:type="gramStart"/>
            <w:r w:rsidRPr="0029408A">
              <w:rPr>
                <w:rFonts w:ascii="Times New Roman" w:hAnsi="Times New Roman"/>
                <w:color w:val="000000"/>
                <w:sz w:val="24"/>
                <w:szCs w:val="24"/>
                <w:lang w:val="en-GB"/>
              </w:rPr>
              <w:t>fixed-term</w:t>
            </w:r>
            <w:proofErr w:type="gramEnd"/>
          </w:p>
        </w:tc>
        <w:tc>
          <w:tcPr>
            <w:tcW w:w="5387" w:type="dxa"/>
            <w:shd w:val="clear" w:color="auto" w:fill="auto"/>
          </w:tcPr>
          <w:p w14:paraId="30509FD5" w14:textId="77777777" w:rsidR="00393560" w:rsidRPr="0029408A" w:rsidRDefault="008102D7" w:rsidP="0029408A">
            <w:pPr>
              <w:pStyle w:val="ListParagraph"/>
              <w:tabs>
                <w:tab w:val="left" w:pos="353"/>
              </w:tabs>
              <w:spacing w:after="160" w:line="259" w:lineRule="auto"/>
              <w:ind w:left="31"/>
              <w:rPr>
                <w:color w:val="000000"/>
              </w:rPr>
            </w:pPr>
            <w:r w:rsidRPr="0029408A">
              <w:rPr>
                <w:color w:val="000000"/>
              </w:rPr>
              <w:t xml:space="preserve">Specify whether the instrument is perpetual or </w:t>
            </w:r>
            <w:proofErr w:type="gramStart"/>
            <w:r w:rsidRPr="0029408A">
              <w:rPr>
                <w:color w:val="000000"/>
              </w:rPr>
              <w:t>fixed-term</w:t>
            </w:r>
            <w:proofErr w:type="gramEnd"/>
            <w:r w:rsidRPr="0029408A">
              <w:rPr>
                <w:color w:val="000000"/>
              </w:rPr>
              <w:t>:</w:t>
            </w:r>
            <w:r w:rsidR="00393560" w:rsidRPr="0029408A">
              <w:rPr>
                <w:color w:val="000000"/>
              </w:rPr>
              <w:t xml:space="preserve"> </w:t>
            </w:r>
          </w:p>
          <w:p w14:paraId="201078B6" w14:textId="77777777" w:rsidR="00393560" w:rsidRPr="0029408A" w:rsidRDefault="008102D7" w:rsidP="0029408A">
            <w:pPr>
              <w:pStyle w:val="ListParagraph"/>
              <w:numPr>
                <w:ilvl w:val="0"/>
                <w:numId w:val="11"/>
              </w:numPr>
              <w:tabs>
                <w:tab w:val="left" w:pos="353"/>
              </w:tabs>
              <w:spacing w:after="160" w:line="259" w:lineRule="auto"/>
              <w:ind w:left="31" w:firstLine="0"/>
              <w:rPr>
                <w:color w:val="000000"/>
              </w:rPr>
            </w:pPr>
            <w:r w:rsidRPr="0029408A">
              <w:rPr>
                <w:color w:val="000000"/>
              </w:rPr>
              <w:t>„</w:t>
            </w:r>
            <w:proofErr w:type="gramStart"/>
            <w:r w:rsidRPr="0029408A">
              <w:rPr>
                <w:color w:val="000000"/>
              </w:rPr>
              <w:t>perpetual</w:t>
            </w:r>
            <w:r w:rsidR="00393560" w:rsidRPr="0029408A">
              <w:rPr>
                <w:color w:val="000000"/>
              </w:rPr>
              <w:t>”;</w:t>
            </w:r>
            <w:proofErr w:type="gramEnd"/>
          </w:p>
          <w:p w14:paraId="32F398CA" w14:textId="77777777" w:rsidR="00393560" w:rsidRPr="0029408A" w:rsidRDefault="008102D7" w:rsidP="0029408A">
            <w:pPr>
              <w:pStyle w:val="ListParagraph"/>
              <w:numPr>
                <w:ilvl w:val="0"/>
                <w:numId w:val="11"/>
              </w:numPr>
              <w:tabs>
                <w:tab w:val="left" w:pos="353"/>
              </w:tabs>
              <w:spacing w:after="160" w:line="259" w:lineRule="auto"/>
              <w:ind w:left="31" w:firstLine="0"/>
              <w:rPr>
                <w:color w:val="000000"/>
              </w:rPr>
            </w:pPr>
            <w:r w:rsidRPr="0029408A">
              <w:rPr>
                <w:color w:val="000000"/>
              </w:rPr>
              <w:t>„maturity</w:t>
            </w:r>
            <w:r w:rsidR="00393560" w:rsidRPr="0029408A">
              <w:rPr>
                <w:color w:val="000000"/>
              </w:rPr>
              <w:t>”.</w:t>
            </w:r>
          </w:p>
        </w:tc>
      </w:tr>
      <w:tr w:rsidR="000F2B3E" w:rsidRPr="0029408A" w14:paraId="1B6E75D2" w14:textId="77777777" w:rsidTr="0029408A">
        <w:tc>
          <w:tcPr>
            <w:tcW w:w="846" w:type="dxa"/>
            <w:shd w:val="clear" w:color="auto" w:fill="auto"/>
          </w:tcPr>
          <w:p w14:paraId="1C5ECAB9"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7B93E708" w14:textId="77777777" w:rsidR="00393560" w:rsidRPr="0029408A" w:rsidRDefault="00D103AF"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Original maturity</w:t>
            </w:r>
          </w:p>
        </w:tc>
        <w:tc>
          <w:tcPr>
            <w:tcW w:w="5387" w:type="dxa"/>
            <w:shd w:val="clear" w:color="auto" w:fill="auto"/>
          </w:tcPr>
          <w:p w14:paraId="74131736" w14:textId="77777777" w:rsidR="00393560" w:rsidRPr="0029408A" w:rsidRDefault="0005464A" w:rsidP="0034072D">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For a fixed-term instrument, the original maturity (day, month and year) shall be indicated. For a </w:t>
            </w:r>
            <w:r w:rsidRPr="0029408A">
              <w:rPr>
                <w:rFonts w:ascii="Times New Roman" w:hAnsi="Times New Roman"/>
                <w:color w:val="000000"/>
                <w:sz w:val="24"/>
                <w:szCs w:val="24"/>
                <w:lang w:val="en-GB"/>
              </w:rPr>
              <w:lastRenderedPageBreak/>
              <w:t>perpetual instrument it shall be indicated "without maturity".</w:t>
            </w:r>
          </w:p>
        </w:tc>
      </w:tr>
      <w:tr w:rsidR="000F2B3E" w:rsidRPr="0029408A" w14:paraId="756640D8" w14:textId="77777777" w:rsidTr="0029408A">
        <w:tc>
          <w:tcPr>
            <w:tcW w:w="846" w:type="dxa"/>
            <w:shd w:val="clear" w:color="auto" w:fill="auto"/>
          </w:tcPr>
          <w:p w14:paraId="77AAAEDC"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6A032940" w14:textId="77777777" w:rsidR="00393560" w:rsidRPr="0029408A" w:rsidRDefault="00D103AF"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Option to buy by the issuer subject to prior approval by the NBM</w:t>
            </w:r>
          </w:p>
        </w:tc>
        <w:tc>
          <w:tcPr>
            <w:tcW w:w="5387" w:type="dxa"/>
            <w:shd w:val="clear" w:color="auto" w:fill="auto"/>
          </w:tcPr>
          <w:p w14:paraId="16527BDB" w14:textId="77777777" w:rsidR="00393560" w:rsidRPr="0029408A" w:rsidRDefault="00265ABD"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It shall be specified if there is a purchase option by the issuer (all purchase options). "Yes" or "No" shall be indicated.</w:t>
            </w:r>
          </w:p>
        </w:tc>
      </w:tr>
      <w:tr w:rsidR="000F2B3E" w:rsidRPr="0029408A" w14:paraId="1030286F" w14:textId="77777777" w:rsidTr="0029408A">
        <w:tc>
          <w:tcPr>
            <w:tcW w:w="846" w:type="dxa"/>
            <w:shd w:val="clear" w:color="auto" w:fill="auto"/>
          </w:tcPr>
          <w:p w14:paraId="6ED298D3"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203DC852" w14:textId="77777777" w:rsidR="00393560" w:rsidRPr="0029408A" w:rsidRDefault="00344B1D"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Optional date of exercise of purchase option, date of exercise of conditional purchase options and redemption amount</w:t>
            </w:r>
          </w:p>
        </w:tc>
        <w:tc>
          <w:tcPr>
            <w:tcW w:w="5387" w:type="dxa"/>
            <w:shd w:val="clear" w:color="auto" w:fill="auto"/>
          </w:tcPr>
          <w:p w14:paraId="7D3ABA64" w14:textId="77777777" w:rsidR="00393560" w:rsidRPr="0029408A" w:rsidRDefault="00D653FF"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For an instrument with a purchase option by the issuer, the first date of exercise of the option shall be specified, if the instrument has a purchase option on a certain date (day, month and year) and / or if the instrument has a purchase option related to tax or regulatory events. The redemption price shall also be specified. Contributes to the assessment of permanence.</w:t>
            </w:r>
          </w:p>
          <w:p w14:paraId="510D8EE8" w14:textId="77777777" w:rsidR="00393560" w:rsidRPr="0029408A" w:rsidRDefault="00F45D88" w:rsidP="006050BC">
            <w:pPr>
              <w:rPr>
                <w:rFonts w:ascii="Times New Roman" w:hAnsi="Times New Roman"/>
                <w:color w:val="000000"/>
                <w:sz w:val="24"/>
                <w:szCs w:val="24"/>
                <w:lang w:val="en-GB"/>
              </w:rPr>
            </w:pPr>
            <w:r w:rsidRPr="0029408A">
              <w:rPr>
                <w:rFonts w:ascii="Times New Roman" w:hAnsi="Times New Roman"/>
                <w:i/>
                <w:color w:val="000000"/>
                <w:sz w:val="24"/>
                <w:szCs w:val="24"/>
                <w:lang w:val="en-GB"/>
              </w:rPr>
              <w:t>(free text)</w:t>
            </w:r>
          </w:p>
        </w:tc>
      </w:tr>
      <w:tr w:rsidR="000F2B3E" w:rsidRPr="0029408A" w14:paraId="6E04344C" w14:textId="77777777" w:rsidTr="0029408A">
        <w:tc>
          <w:tcPr>
            <w:tcW w:w="846" w:type="dxa"/>
            <w:shd w:val="clear" w:color="auto" w:fill="auto"/>
          </w:tcPr>
          <w:p w14:paraId="228BEF1C"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6D60D545" w14:textId="77777777" w:rsidR="00393560" w:rsidRPr="0029408A" w:rsidRDefault="00344B1D"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Subsequent dates of the exercise of purchase option, as appropriate</w:t>
            </w:r>
          </w:p>
        </w:tc>
        <w:tc>
          <w:tcPr>
            <w:tcW w:w="5387" w:type="dxa"/>
            <w:shd w:val="clear" w:color="auto" w:fill="auto"/>
          </w:tcPr>
          <w:p w14:paraId="36E29893" w14:textId="77777777" w:rsidR="00393560" w:rsidRPr="0029408A" w:rsidRDefault="00B06710"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It shall be specified whether there are subsequent dates for exercising the purchase option and their frequency, as appropriate. Contributes to the assessment of permanence.</w:t>
            </w:r>
          </w:p>
          <w:p w14:paraId="2E041772" w14:textId="77777777" w:rsidR="00393560" w:rsidRPr="0029408A" w:rsidRDefault="00F45D88" w:rsidP="006050BC">
            <w:pPr>
              <w:rPr>
                <w:rFonts w:ascii="Times New Roman" w:hAnsi="Times New Roman"/>
                <w:color w:val="000000"/>
                <w:sz w:val="24"/>
                <w:szCs w:val="24"/>
                <w:lang w:val="en-GB"/>
              </w:rPr>
            </w:pPr>
            <w:r w:rsidRPr="0029408A">
              <w:rPr>
                <w:rFonts w:ascii="Times New Roman" w:hAnsi="Times New Roman"/>
                <w:i/>
                <w:color w:val="000000"/>
                <w:sz w:val="24"/>
                <w:szCs w:val="24"/>
                <w:lang w:val="en-GB"/>
              </w:rPr>
              <w:t>(free text)</w:t>
            </w:r>
          </w:p>
        </w:tc>
      </w:tr>
      <w:tr w:rsidR="000F2B3E" w:rsidRPr="0029408A" w14:paraId="0484FF8B" w14:textId="77777777" w:rsidTr="0029408A">
        <w:tc>
          <w:tcPr>
            <w:tcW w:w="846" w:type="dxa"/>
            <w:shd w:val="clear" w:color="auto" w:fill="auto"/>
          </w:tcPr>
          <w:p w14:paraId="3257372E" w14:textId="77777777" w:rsidR="00393560" w:rsidRPr="0029408A" w:rsidRDefault="00393560" w:rsidP="0029408A">
            <w:pPr>
              <w:pStyle w:val="ListParagraph"/>
              <w:spacing w:after="160" w:line="259" w:lineRule="auto"/>
              <w:rPr>
                <w:color w:val="000000"/>
              </w:rPr>
            </w:pPr>
          </w:p>
        </w:tc>
        <w:tc>
          <w:tcPr>
            <w:tcW w:w="3685" w:type="dxa"/>
            <w:shd w:val="clear" w:color="auto" w:fill="auto"/>
          </w:tcPr>
          <w:p w14:paraId="56ECA505" w14:textId="77777777" w:rsidR="00393560" w:rsidRPr="0029408A" w:rsidRDefault="00B06710" w:rsidP="006050BC">
            <w:pPr>
              <w:rPr>
                <w:rFonts w:ascii="Times New Roman" w:hAnsi="Times New Roman"/>
                <w:b/>
                <w:i/>
                <w:color w:val="000000"/>
                <w:sz w:val="24"/>
                <w:szCs w:val="24"/>
                <w:lang w:val="en-GB"/>
              </w:rPr>
            </w:pPr>
            <w:r w:rsidRPr="0029408A">
              <w:rPr>
                <w:rFonts w:ascii="Times New Roman" w:hAnsi="Times New Roman"/>
                <w:b/>
                <w:i/>
                <w:color w:val="000000"/>
                <w:sz w:val="24"/>
                <w:szCs w:val="24"/>
                <w:lang w:val="en-GB"/>
              </w:rPr>
              <w:t>Coupons / dividends</w:t>
            </w:r>
          </w:p>
        </w:tc>
        <w:tc>
          <w:tcPr>
            <w:tcW w:w="5387" w:type="dxa"/>
            <w:shd w:val="clear" w:color="auto" w:fill="auto"/>
          </w:tcPr>
          <w:p w14:paraId="4F838B54" w14:textId="77777777" w:rsidR="00393560" w:rsidRPr="0029408A" w:rsidRDefault="00393560" w:rsidP="006050BC">
            <w:pPr>
              <w:rPr>
                <w:rFonts w:ascii="Times New Roman" w:hAnsi="Times New Roman"/>
                <w:color w:val="000000"/>
                <w:sz w:val="24"/>
                <w:szCs w:val="24"/>
                <w:lang w:val="en-GB"/>
              </w:rPr>
            </w:pPr>
          </w:p>
        </w:tc>
      </w:tr>
      <w:tr w:rsidR="000F2B3E" w:rsidRPr="0029408A" w14:paraId="08A8F323" w14:textId="77777777" w:rsidTr="0029408A">
        <w:tc>
          <w:tcPr>
            <w:tcW w:w="846" w:type="dxa"/>
            <w:shd w:val="clear" w:color="auto" w:fill="auto"/>
          </w:tcPr>
          <w:p w14:paraId="7D4C2BCB"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6E3902B4" w14:textId="77777777" w:rsidR="00393560" w:rsidRPr="0029408A" w:rsidRDefault="003714B6"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Fixed or variable dividend / coupon</w:t>
            </w:r>
          </w:p>
        </w:tc>
        <w:tc>
          <w:tcPr>
            <w:tcW w:w="5387" w:type="dxa"/>
            <w:shd w:val="clear" w:color="auto" w:fill="auto"/>
          </w:tcPr>
          <w:p w14:paraId="1C29AC41" w14:textId="77777777" w:rsidR="00393560" w:rsidRPr="0029408A" w:rsidRDefault="007F029B" w:rsidP="0029408A">
            <w:pPr>
              <w:pStyle w:val="ListParagraph"/>
              <w:tabs>
                <w:tab w:val="left" w:pos="353"/>
              </w:tabs>
              <w:spacing w:after="160" w:line="259" w:lineRule="auto"/>
              <w:ind w:left="31"/>
              <w:rPr>
                <w:color w:val="000000"/>
              </w:rPr>
            </w:pPr>
            <w:r w:rsidRPr="0029408A">
              <w:rPr>
                <w:color w:val="000000"/>
              </w:rPr>
              <w:t xml:space="preserve">It shall be specified whether the dividend / coupon </w:t>
            </w:r>
            <w:proofErr w:type="gramStart"/>
            <w:r w:rsidRPr="0029408A">
              <w:rPr>
                <w:color w:val="000000"/>
              </w:rPr>
              <w:t>is:</w:t>
            </w:r>
            <w:proofErr w:type="gramEnd"/>
            <w:r w:rsidRPr="0029408A">
              <w:rPr>
                <w:color w:val="000000"/>
              </w:rPr>
              <w:t xml:space="preserve"> either fixed for the life of the instrument, or fixed at present, but will become variable in the future, or variable at present, but will become at a fixed rate in the future. It shall be indicated:</w:t>
            </w:r>
          </w:p>
          <w:p w14:paraId="05C1ECA5" w14:textId="77777777" w:rsidR="007F029B" w:rsidRPr="0029408A" w:rsidRDefault="007F029B" w:rsidP="0029408A">
            <w:pPr>
              <w:pStyle w:val="ListParagraph"/>
              <w:numPr>
                <w:ilvl w:val="0"/>
                <w:numId w:val="11"/>
              </w:numPr>
              <w:tabs>
                <w:tab w:val="left" w:pos="353"/>
              </w:tabs>
              <w:rPr>
                <w:color w:val="000000"/>
              </w:rPr>
            </w:pPr>
            <w:r w:rsidRPr="0029408A">
              <w:rPr>
                <w:color w:val="000000"/>
              </w:rPr>
              <w:t xml:space="preserve"> "</w:t>
            </w:r>
            <w:proofErr w:type="gramStart"/>
            <w:r w:rsidRPr="0029408A">
              <w:rPr>
                <w:color w:val="000000"/>
              </w:rPr>
              <w:t>fixed";</w:t>
            </w:r>
            <w:proofErr w:type="gramEnd"/>
          </w:p>
          <w:p w14:paraId="7BA01DCD" w14:textId="77777777" w:rsidR="007F029B" w:rsidRPr="0029408A" w:rsidRDefault="007F029B" w:rsidP="0029408A">
            <w:pPr>
              <w:pStyle w:val="ListParagraph"/>
              <w:numPr>
                <w:ilvl w:val="0"/>
                <w:numId w:val="11"/>
              </w:numPr>
              <w:tabs>
                <w:tab w:val="left" w:pos="353"/>
              </w:tabs>
              <w:rPr>
                <w:color w:val="000000"/>
              </w:rPr>
            </w:pPr>
            <w:r w:rsidRPr="0029408A">
              <w:rPr>
                <w:color w:val="000000"/>
              </w:rPr>
              <w:t xml:space="preserve"> "</w:t>
            </w:r>
            <w:proofErr w:type="gramStart"/>
            <w:r w:rsidRPr="0029408A">
              <w:rPr>
                <w:color w:val="000000"/>
              </w:rPr>
              <w:t>variable";</w:t>
            </w:r>
            <w:proofErr w:type="gramEnd"/>
          </w:p>
          <w:p w14:paraId="48A43397" w14:textId="77777777" w:rsidR="007F029B" w:rsidRPr="0029408A" w:rsidRDefault="007F029B" w:rsidP="0029408A">
            <w:pPr>
              <w:pStyle w:val="ListParagraph"/>
              <w:numPr>
                <w:ilvl w:val="0"/>
                <w:numId w:val="11"/>
              </w:numPr>
              <w:tabs>
                <w:tab w:val="left" w:pos="353"/>
              </w:tabs>
              <w:rPr>
                <w:color w:val="000000"/>
              </w:rPr>
            </w:pPr>
            <w:r w:rsidRPr="0029408A">
              <w:rPr>
                <w:color w:val="000000"/>
              </w:rPr>
              <w:t xml:space="preserve"> "</w:t>
            </w:r>
            <w:proofErr w:type="gramStart"/>
            <w:r w:rsidRPr="0029408A">
              <w:rPr>
                <w:color w:val="000000"/>
              </w:rPr>
              <w:t>fixed</w:t>
            </w:r>
            <w:proofErr w:type="gramEnd"/>
            <w:r w:rsidRPr="0029408A">
              <w:rPr>
                <w:color w:val="000000"/>
              </w:rPr>
              <w:t xml:space="preserve"> then variable</w:t>
            </w:r>
            <w:proofErr w:type="gramStart"/>
            <w:r w:rsidRPr="0029408A">
              <w:rPr>
                <w:color w:val="000000"/>
              </w:rPr>
              <w:t>";</w:t>
            </w:r>
            <w:proofErr w:type="gramEnd"/>
          </w:p>
          <w:p w14:paraId="5E5BF3E8" w14:textId="77777777" w:rsidR="00393560" w:rsidRPr="0029408A" w:rsidRDefault="007F029B" w:rsidP="0029408A">
            <w:pPr>
              <w:pStyle w:val="ListParagraph"/>
              <w:numPr>
                <w:ilvl w:val="0"/>
                <w:numId w:val="11"/>
              </w:numPr>
              <w:tabs>
                <w:tab w:val="left" w:pos="353"/>
              </w:tabs>
              <w:spacing w:after="160" w:line="259" w:lineRule="auto"/>
              <w:rPr>
                <w:color w:val="000000"/>
              </w:rPr>
            </w:pPr>
            <w:r w:rsidRPr="0029408A">
              <w:rPr>
                <w:color w:val="000000"/>
              </w:rPr>
              <w:t xml:space="preserve"> "</w:t>
            </w:r>
            <w:proofErr w:type="gramStart"/>
            <w:r w:rsidRPr="0029408A">
              <w:rPr>
                <w:color w:val="000000"/>
              </w:rPr>
              <w:t>variable</w:t>
            </w:r>
            <w:proofErr w:type="gramEnd"/>
            <w:r w:rsidRPr="0029408A">
              <w:rPr>
                <w:color w:val="000000"/>
              </w:rPr>
              <w:t xml:space="preserve"> then fixed".</w:t>
            </w:r>
          </w:p>
        </w:tc>
      </w:tr>
      <w:tr w:rsidR="000F2B3E" w:rsidRPr="0029408A" w14:paraId="66C29614" w14:textId="77777777" w:rsidTr="0029408A">
        <w:tc>
          <w:tcPr>
            <w:tcW w:w="846" w:type="dxa"/>
            <w:shd w:val="clear" w:color="auto" w:fill="auto"/>
          </w:tcPr>
          <w:p w14:paraId="54842FC0"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6E28AEC4" w14:textId="77777777" w:rsidR="00393560" w:rsidRPr="0029408A" w:rsidRDefault="00A84270" w:rsidP="0034072D">
            <w:pPr>
              <w:rPr>
                <w:rFonts w:ascii="Times New Roman" w:hAnsi="Times New Roman"/>
                <w:color w:val="000000"/>
                <w:sz w:val="24"/>
                <w:szCs w:val="24"/>
                <w:lang w:val="en-GB"/>
              </w:rPr>
            </w:pPr>
            <w:r w:rsidRPr="0029408A">
              <w:rPr>
                <w:rFonts w:ascii="Times New Roman" w:hAnsi="Times New Roman"/>
                <w:color w:val="000000"/>
                <w:sz w:val="24"/>
                <w:szCs w:val="24"/>
                <w:lang w:val="en-GB"/>
              </w:rPr>
              <w:t>Coupon rate and any related index</w:t>
            </w:r>
          </w:p>
        </w:tc>
        <w:tc>
          <w:tcPr>
            <w:tcW w:w="5387" w:type="dxa"/>
            <w:shd w:val="clear" w:color="auto" w:fill="auto"/>
          </w:tcPr>
          <w:p w14:paraId="29C58320" w14:textId="77777777" w:rsidR="00393560" w:rsidRPr="0029408A" w:rsidRDefault="00B72623"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The coupon rate for the instrument and any index to which the coupon / dividend relates shall be specified.</w:t>
            </w:r>
          </w:p>
          <w:p w14:paraId="19442816" w14:textId="77777777" w:rsidR="00393560" w:rsidRPr="0029408A" w:rsidRDefault="00F45D88" w:rsidP="006050BC">
            <w:pPr>
              <w:rPr>
                <w:rFonts w:ascii="Times New Roman" w:hAnsi="Times New Roman"/>
                <w:color w:val="000000"/>
                <w:sz w:val="24"/>
                <w:szCs w:val="24"/>
                <w:lang w:val="en-GB"/>
              </w:rPr>
            </w:pPr>
            <w:r w:rsidRPr="0029408A">
              <w:rPr>
                <w:rFonts w:ascii="Times New Roman" w:hAnsi="Times New Roman"/>
                <w:i/>
                <w:color w:val="000000"/>
                <w:sz w:val="24"/>
                <w:szCs w:val="24"/>
                <w:lang w:val="en-GB"/>
              </w:rPr>
              <w:t>(free text)</w:t>
            </w:r>
          </w:p>
        </w:tc>
      </w:tr>
      <w:tr w:rsidR="000F2B3E" w:rsidRPr="0029408A" w14:paraId="412A3C9F" w14:textId="77777777" w:rsidTr="0029408A">
        <w:tc>
          <w:tcPr>
            <w:tcW w:w="846" w:type="dxa"/>
            <w:shd w:val="clear" w:color="auto" w:fill="auto"/>
          </w:tcPr>
          <w:p w14:paraId="52045F0C"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0CBF2AC6" w14:textId="77777777" w:rsidR="00393560" w:rsidRPr="0029408A" w:rsidRDefault="00A84270"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Existence of a "dividend stopper" mechanism (prohibition on the payment of dividends)</w:t>
            </w:r>
          </w:p>
        </w:tc>
        <w:tc>
          <w:tcPr>
            <w:tcW w:w="5387" w:type="dxa"/>
            <w:shd w:val="clear" w:color="auto" w:fill="auto"/>
          </w:tcPr>
          <w:p w14:paraId="1CD8B87C" w14:textId="77777777" w:rsidR="00393560" w:rsidRPr="0029408A" w:rsidRDefault="009B3B93"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It shall be specified whether the non-payment of a coupon or dividend for the instrument involves the prohibition of the payment of dividends for ordinary shares, i.e. whether there is a "dividend stopper" mechanism. "Yes" or "No" shall be indicated.</w:t>
            </w:r>
          </w:p>
        </w:tc>
      </w:tr>
      <w:tr w:rsidR="000F2B3E" w:rsidRPr="0029408A" w14:paraId="3C664EFF" w14:textId="77777777" w:rsidTr="0029408A">
        <w:tc>
          <w:tcPr>
            <w:tcW w:w="846" w:type="dxa"/>
            <w:shd w:val="clear" w:color="auto" w:fill="auto"/>
          </w:tcPr>
          <w:p w14:paraId="0C6475DC"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050A2116" w14:textId="77777777" w:rsidR="00393560" w:rsidRPr="0029408A" w:rsidRDefault="00BB564F"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Fully discretionary, partly discretionary or mandatory (on schedule)</w:t>
            </w:r>
          </w:p>
        </w:tc>
        <w:tc>
          <w:tcPr>
            <w:tcW w:w="5387" w:type="dxa"/>
            <w:shd w:val="clear" w:color="auto" w:fill="auto"/>
          </w:tcPr>
          <w:p w14:paraId="70A40A41" w14:textId="77777777" w:rsidR="00393560" w:rsidRPr="0029408A" w:rsidRDefault="00DB7B4D"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It shall be specified whether the issuer has full, partial or no freedom of action with respect to the payment or non-payment of a coupon / dividend.</w:t>
            </w:r>
            <w:r w:rsidR="00393560" w:rsidRPr="0029408A">
              <w:rPr>
                <w:rFonts w:ascii="Times New Roman" w:hAnsi="Times New Roman"/>
                <w:color w:val="000000"/>
                <w:sz w:val="24"/>
                <w:szCs w:val="24"/>
                <w:lang w:val="en-GB"/>
              </w:rPr>
              <w:t xml:space="preserve"> </w:t>
            </w:r>
          </w:p>
          <w:p w14:paraId="602A4178" w14:textId="77777777" w:rsidR="00393560" w:rsidRPr="0029408A" w:rsidRDefault="00DB7B4D"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If the bank has full freedom of action regarding the cancellation of the payment of coupons / dividends in all circumstances it shall be indicated "fully discretionary" (including if there is a coupon settlement mechanism that does not prevent the bank cancel payments related to the instrument). The Bank shall also specify the reasons for the discretionary nature, the existence of coupon settlement mechanisms (ACSM).</w:t>
            </w:r>
          </w:p>
          <w:p w14:paraId="501E7B20" w14:textId="77777777" w:rsidR="00393560" w:rsidRPr="0029408A" w:rsidRDefault="006E5F06" w:rsidP="00F54ADE">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If there are conditions that must be met before </w:t>
            </w:r>
            <w:proofErr w:type="spellStart"/>
            <w:r w:rsidRPr="0029408A">
              <w:rPr>
                <w:rFonts w:ascii="Times New Roman" w:hAnsi="Times New Roman"/>
                <w:color w:val="000000"/>
                <w:sz w:val="24"/>
                <w:szCs w:val="24"/>
                <w:lang w:val="en-GB"/>
              </w:rPr>
              <w:t>canceling</w:t>
            </w:r>
            <w:proofErr w:type="spellEnd"/>
            <w:r w:rsidRPr="0029408A">
              <w:rPr>
                <w:rFonts w:ascii="Times New Roman" w:hAnsi="Times New Roman"/>
                <w:color w:val="000000"/>
                <w:sz w:val="24"/>
                <w:szCs w:val="24"/>
                <w:lang w:val="en-GB"/>
              </w:rPr>
              <w:t xml:space="preserve"> the payment (for example, the level of capital below a certain threshold), the bank shall indicate "partially discretionary character". If the bank does not have the capacity to cancel the payment in cases other than insolvency, it shall specify "mandatory".</w:t>
            </w:r>
          </w:p>
        </w:tc>
      </w:tr>
      <w:tr w:rsidR="000F2B3E" w:rsidRPr="0029408A" w14:paraId="158BC407" w14:textId="77777777" w:rsidTr="0029408A">
        <w:tc>
          <w:tcPr>
            <w:tcW w:w="846" w:type="dxa"/>
            <w:shd w:val="clear" w:color="auto" w:fill="auto"/>
          </w:tcPr>
          <w:p w14:paraId="3BF15458"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343D874A" w14:textId="77777777" w:rsidR="00393560" w:rsidRPr="0029408A" w:rsidRDefault="003801CC"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Fully discretionary, partly discretionary or mandatory (in terms of amount)</w:t>
            </w:r>
          </w:p>
        </w:tc>
        <w:tc>
          <w:tcPr>
            <w:tcW w:w="5387" w:type="dxa"/>
            <w:shd w:val="clear" w:color="auto" w:fill="auto"/>
          </w:tcPr>
          <w:p w14:paraId="377BFB20" w14:textId="77777777" w:rsidR="00393560" w:rsidRPr="0029408A" w:rsidRDefault="003801CC" w:rsidP="0029408A">
            <w:pPr>
              <w:pStyle w:val="ListParagraph"/>
              <w:tabs>
                <w:tab w:val="left" w:pos="353"/>
              </w:tabs>
              <w:spacing w:after="160" w:line="259" w:lineRule="auto"/>
              <w:ind w:left="31"/>
              <w:rPr>
                <w:color w:val="000000"/>
              </w:rPr>
            </w:pPr>
            <w:r w:rsidRPr="0029408A">
              <w:rPr>
                <w:color w:val="000000"/>
              </w:rPr>
              <w:t>It shall be specified whether the issuer has full, partial or no freedom of action with respect to the amount of a coupon / dividend.</w:t>
            </w:r>
            <w:r w:rsidR="00393560" w:rsidRPr="0029408A">
              <w:rPr>
                <w:color w:val="000000"/>
              </w:rPr>
              <w:t xml:space="preserve"> </w:t>
            </w:r>
          </w:p>
          <w:p w14:paraId="2A5DBAEA" w14:textId="77777777" w:rsidR="00393560" w:rsidRPr="0029408A" w:rsidRDefault="003801CC" w:rsidP="0029408A">
            <w:pPr>
              <w:pStyle w:val="ListParagraph"/>
              <w:tabs>
                <w:tab w:val="left" w:pos="353"/>
              </w:tabs>
              <w:spacing w:after="160" w:line="259" w:lineRule="auto"/>
              <w:ind w:left="31"/>
              <w:rPr>
                <w:color w:val="000000"/>
              </w:rPr>
            </w:pPr>
            <w:r w:rsidRPr="0029408A">
              <w:rPr>
                <w:color w:val="000000"/>
              </w:rPr>
              <w:t>Specify, as appropriate:</w:t>
            </w:r>
          </w:p>
          <w:p w14:paraId="68D87700" w14:textId="77777777" w:rsidR="00393560" w:rsidRPr="0029408A" w:rsidRDefault="00393560" w:rsidP="0029408A">
            <w:pPr>
              <w:pStyle w:val="ListParagraph"/>
              <w:numPr>
                <w:ilvl w:val="0"/>
                <w:numId w:val="11"/>
              </w:numPr>
              <w:tabs>
                <w:tab w:val="left" w:pos="353"/>
              </w:tabs>
              <w:spacing w:after="160" w:line="259" w:lineRule="auto"/>
              <w:rPr>
                <w:color w:val="000000"/>
              </w:rPr>
            </w:pPr>
            <w:r w:rsidRPr="0029408A">
              <w:rPr>
                <w:color w:val="000000"/>
              </w:rPr>
              <w:t>„</w:t>
            </w:r>
            <w:r w:rsidR="003801CC" w:rsidRPr="00CC4CEB">
              <w:t xml:space="preserve"> </w:t>
            </w:r>
            <w:proofErr w:type="gramStart"/>
            <w:r w:rsidR="003801CC" w:rsidRPr="0029408A">
              <w:rPr>
                <w:color w:val="000000"/>
              </w:rPr>
              <w:t>fully</w:t>
            </w:r>
            <w:proofErr w:type="gramEnd"/>
            <w:r w:rsidR="003801CC" w:rsidRPr="0029408A">
              <w:rPr>
                <w:color w:val="000000"/>
              </w:rPr>
              <w:t xml:space="preserve"> discretionary</w:t>
            </w:r>
            <w:r w:rsidRPr="0029408A">
              <w:rPr>
                <w:color w:val="000000"/>
              </w:rPr>
              <w:t xml:space="preserve">”, </w:t>
            </w:r>
          </w:p>
          <w:p w14:paraId="535A2C97" w14:textId="77777777" w:rsidR="00393560" w:rsidRPr="0029408A" w:rsidRDefault="00393560" w:rsidP="0029408A">
            <w:pPr>
              <w:pStyle w:val="ListParagraph"/>
              <w:numPr>
                <w:ilvl w:val="0"/>
                <w:numId w:val="11"/>
              </w:numPr>
              <w:tabs>
                <w:tab w:val="left" w:pos="353"/>
              </w:tabs>
              <w:spacing w:after="160" w:line="259" w:lineRule="auto"/>
              <w:rPr>
                <w:color w:val="000000"/>
              </w:rPr>
            </w:pPr>
            <w:r w:rsidRPr="0029408A">
              <w:rPr>
                <w:color w:val="000000"/>
              </w:rPr>
              <w:t>„</w:t>
            </w:r>
            <w:r w:rsidR="003801CC" w:rsidRPr="00CC4CEB">
              <w:t xml:space="preserve"> </w:t>
            </w:r>
            <w:proofErr w:type="gramStart"/>
            <w:r w:rsidR="003801CC" w:rsidRPr="0029408A">
              <w:rPr>
                <w:color w:val="000000"/>
              </w:rPr>
              <w:t>partly</w:t>
            </w:r>
            <w:proofErr w:type="gramEnd"/>
            <w:r w:rsidR="003801CC" w:rsidRPr="0029408A">
              <w:rPr>
                <w:color w:val="000000"/>
              </w:rPr>
              <w:t xml:space="preserve"> discretionary” or</w:t>
            </w:r>
            <w:r w:rsidRPr="0029408A">
              <w:rPr>
                <w:color w:val="000000"/>
              </w:rPr>
              <w:t xml:space="preserve"> </w:t>
            </w:r>
          </w:p>
          <w:p w14:paraId="456D84C8" w14:textId="77777777" w:rsidR="00393560" w:rsidRPr="0029408A" w:rsidRDefault="00393560" w:rsidP="0029408A">
            <w:pPr>
              <w:pStyle w:val="ListParagraph"/>
              <w:numPr>
                <w:ilvl w:val="0"/>
                <w:numId w:val="11"/>
              </w:numPr>
              <w:tabs>
                <w:tab w:val="left" w:pos="353"/>
              </w:tabs>
              <w:spacing w:after="160" w:line="259" w:lineRule="auto"/>
              <w:rPr>
                <w:color w:val="000000"/>
              </w:rPr>
            </w:pPr>
            <w:r w:rsidRPr="0029408A">
              <w:rPr>
                <w:color w:val="000000"/>
              </w:rPr>
              <w:t>„</w:t>
            </w:r>
            <w:r w:rsidR="003801CC" w:rsidRPr="00CC4CEB">
              <w:t xml:space="preserve"> </w:t>
            </w:r>
            <w:r w:rsidR="003801CC" w:rsidRPr="0029408A">
              <w:rPr>
                <w:color w:val="000000"/>
              </w:rPr>
              <w:t>mandatory</w:t>
            </w:r>
            <w:r w:rsidRPr="0029408A">
              <w:rPr>
                <w:color w:val="000000"/>
              </w:rPr>
              <w:t>”</w:t>
            </w:r>
            <w:r w:rsidR="00F54ADE" w:rsidRPr="0029408A">
              <w:rPr>
                <w:color w:val="000000"/>
              </w:rPr>
              <w:t>.</w:t>
            </w:r>
          </w:p>
        </w:tc>
      </w:tr>
      <w:tr w:rsidR="000F2B3E" w:rsidRPr="0029408A" w14:paraId="10F2B235" w14:textId="77777777" w:rsidTr="0029408A">
        <w:tc>
          <w:tcPr>
            <w:tcW w:w="846" w:type="dxa"/>
            <w:shd w:val="clear" w:color="auto" w:fill="auto"/>
          </w:tcPr>
          <w:p w14:paraId="2DEBEC14"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4ECC8332" w14:textId="77777777" w:rsidR="00393560" w:rsidRPr="0029408A" w:rsidRDefault="00FF52C1"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Existence of a step-up or other redemption incentive</w:t>
            </w:r>
          </w:p>
        </w:tc>
        <w:tc>
          <w:tcPr>
            <w:tcW w:w="5387" w:type="dxa"/>
            <w:shd w:val="clear" w:color="auto" w:fill="auto"/>
          </w:tcPr>
          <w:p w14:paraId="16D1FD64" w14:textId="77777777" w:rsidR="00393560" w:rsidRPr="0029408A" w:rsidRDefault="005A223D"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It shall be specified if there is a step-up or other redemption incentive. "Yes" or "No" shall be indicated.</w:t>
            </w:r>
          </w:p>
        </w:tc>
      </w:tr>
      <w:tr w:rsidR="000F2B3E" w:rsidRPr="0029408A" w14:paraId="299B22F8" w14:textId="77777777" w:rsidTr="0029408A">
        <w:tc>
          <w:tcPr>
            <w:tcW w:w="846" w:type="dxa"/>
            <w:shd w:val="clear" w:color="auto" w:fill="auto"/>
          </w:tcPr>
          <w:p w14:paraId="49AB5CAB"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4E0ED58D" w14:textId="77777777" w:rsidR="00393560" w:rsidRPr="0029408A" w:rsidRDefault="00FF52C1"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Non-cumulative or cumulative</w:t>
            </w:r>
          </w:p>
        </w:tc>
        <w:tc>
          <w:tcPr>
            <w:tcW w:w="5387" w:type="dxa"/>
            <w:shd w:val="clear" w:color="auto" w:fill="auto"/>
          </w:tcPr>
          <w:p w14:paraId="2A235C5D" w14:textId="77777777" w:rsidR="00393560" w:rsidRPr="0029408A" w:rsidRDefault="005A223D"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It shall be specified whether the dividends / coupons are "cumulative", "non-cumulative" or "ACSM".</w:t>
            </w:r>
          </w:p>
        </w:tc>
      </w:tr>
      <w:tr w:rsidR="000F2B3E" w:rsidRPr="0029408A" w14:paraId="1C2CFB85" w14:textId="77777777" w:rsidTr="0029408A">
        <w:tc>
          <w:tcPr>
            <w:tcW w:w="846" w:type="dxa"/>
            <w:shd w:val="clear" w:color="auto" w:fill="auto"/>
          </w:tcPr>
          <w:p w14:paraId="3F994D00"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772BC8B8" w14:textId="77777777" w:rsidR="00393560" w:rsidRPr="0029408A" w:rsidRDefault="00FF52C1"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Convertible or non-convertible</w:t>
            </w:r>
          </w:p>
        </w:tc>
        <w:tc>
          <w:tcPr>
            <w:tcW w:w="5387" w:type="dxa"/>
            <w:shd w:val="clear" w:color="auto" w:fill="auto"/>
          </w:tcPr>
          <w:p w14:paraId="65C0453C" w14:textId="77777777" w:rsidR="00393560" w:rsidRPr="0029408A" w:rsidRDefault="00456AE5"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It shall be specified whether the instrument is convertible or not. It shall be indicated "convertible" or "non-convertible".</w:t>
            </w:r>
          </w:p>
        </w:tc>
      </w:tr>
      <w:tr w:rsidR="000F2B3E" w:rsidRPr="0029408A" w14:paraId="343AE455" w14:textId="77777777" w:rsidTr="0029408A">
        <w:tc>
          <w:tcPr>
            <w:tcW w:w="846" w:type="dxa"/>
            <w:shd w:val="clear" w:color="auto" w:fill="auto"/>
          </w:tcPr>
          <w:p w14:paraId="04B9E64D"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6AC4C84D" w14:textId="77777777" w:rsidR="00393560" w:rsidRPr="0029408A" w:rsidRDefault="00FF52C1"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If it is convertible - the factor (s) that triggers the conversion</w:t>
            </w:r>
          </w:p>
        </w:tc>
        <w:tc>
          <w:tcPr>
            <w:tcW w:w="5387" w:type="dxa"/>
            <w:shd w:val="clear" w:color="auto" w:fill="auto"/>
          </w:tcPr>
          <w:p w14:paraId="1A4511E2" w14:textId="77777777" w:rsidR="00393560" w:rsidRPr="0029408A" w:rsidRDefault="00D93055"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The conditions under which the instrument will be converted shall be specified. If one or more authorities have the capacity to initiate the conversion, those authorities are listed. For each of the authorities it is mentioned whether the legal basis for initiating the conversion is represented by </w:t>
            </w:r>
            <w:r w:rsidRPr="0029408A">
              <w:rPr>
                <w:rFonts w:ascii="Times New Roman" w:hAnsi="Times New Roman"/>
                <w:color w:val="000000"/>
                <w:sz w:val="24"/>
                <w:szCs w:val="24"/>
                <w:lang w:val="en-GB"/>
              </w:rPr>
              <w:lastRenderedPageBreak/>
              <w:t>contractual clauses (contractual approach) or is provided by other statutory means (statutory approach).</w:t>
            </w:r>
          </w:p>
          <w:p w14:paraId="66CBD1C2" w14:textId="77777777" w:rsidR="00393560" w:rsidRPr="0029408A" w:rsidRDefault="00F45D88" w:rsidP="006050BC">
            <w:pPr>
              <w:rPr>
                <w:rFonts w:ascii="Times New Roman" w:hAnsi="Times New Roman"/>
                <w:color w:val="000000"/>
                <w:sz w:val="24"/>
                <w:szCs w:val="24"/>
                <w:lang w:val="en-GB"/>
              </w:rPr>
            </w:pPr>
            <w:r w:rsidRPr="0029408A">
              <w:rPr>
                <w:rFonts w:ascii="Times New Roman" w:hAnsi="Times New Roman"/>
                <w:i/>
                <w:color w:val="000000"/>
                <w:sz w:val="24"/>
                <w:szCs w:val="24"/>
                <w:lang w:val="en-GB"/>
              </w:rPr>
              <w:t>(free text)</w:t>
            </w:r>
          </w:p>
        </w:tc>
      </w:tr>
      <w:tr w:rsidR="000F2B3E" w:rsidRPr="0029408A" w14:paraId="2ACAFC12" w14:textId="77777777" w:rsidTr="0029408A">
        <w:tc>
          <w:tcPr>
            <w:tcW w:w="846" w:type="dxa"/>
            <w:shd w:val="clear" w:color="auto" w:fill="auto"/>
          </w:tcPr>
          <w:p w14:paraId="52565716"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5557C866" w14:textId="77777777" w:rsidR="00393560" w:rsidRPr="0029408A" w:rsidRDefault="005601D2"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If it is convertible - in whole or in part</w:t>
            </w:r>
          </w:p>
        </w:tc>
        <w:tc>
          <w:tcPr>
            <w:tcW w:w="5387" w:type="dxa"/>
            <w:shd w:val="clear" w:color="auto" w:fill="auto"/>
          </w:tcPr>
          <w:p w14:paraId="23AFCFFE" w14:textId="77777777" w:rsidR="00393560" w:rsidRPr="0029408A" w:rsidRDefault="005601D2"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It shall be specified whether the instrument will always be fully converted, whether it can be fully or partially converted or whether it will always be partially converted.</w:t>
            </w:r>
          </w:p>
        </w:tc>
      </w:tr>
      <w:tr w:rsidR="000F2B3E" w:rsidRPr="0029408A" w14:paraId="1353F31D" w14:textId="77777777" w:rsidTr="0029408A">
        <w:tc>
          <w:tcPr>
            <w:tcW w:w="846" w:type="dxa"/>
            <w:shd w:val="clear" w:color="auto" w:fill="auto"/>
          </w:tcPr>
          <w:p w14:paraId="48350C3D"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362367DD" w14:textId="77777777" w:rsidR="00393560" w:rsidRPr="0029408A" w:rsidRDefault="005601D2"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If it is convertible - conversion rate</w:t>
            </w:r>
          </w:p>
        </w:tc>
        <w:tc>
          <w:tcPr>
            <w:tcW w:w="5387" w:type="dxa"/>
            <w:shd w:val="clear" w:color="auto" w:fill="auto"/>
          </w:tcPr>
          <w:p w14:paraId="07544BC0" w14:textId="77777777" w:rsidR="00393560" w:rsidRPr="0029408A" w:rsidRDefault="00615DDB"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The conversion rate in the instrument with a better loss absorption capacity shall be specified.</w:t>
            </w:r>
          </w:p>
          <w:p w14:paraId="47EABCA5" w14:textId="77777777" w:rsidR="00393560" w:rsidRPr="0029408A" w:rsidRDefault="00F45D88" w:rsidP="006050BC">
            <w:pPr>
              <w:rPr>
                <w:rFonts w:ascii="Times New Roman" w:hAnsi="Times New Roman"/>
                <w:color w:val="000000"/>
                <w:sz w:val="24"/>
                <w:szCs w:val="24"/>
                <w:lang w:val="en-GB"/>
              </w:rPr>
            </w:pPr>
            <w:r w:rsidRPr="0029408A">
              <w:rPr>
                <w:rFonts w:ascii="Times New Roman" w:hAnsi="Times New Roman"/>
                <w:i/>
                <w:color w:val="000000"/>
                <w:sz w:val="24"/>
                <w:szCs w:val="24"/>
                <w:lang w:val="en-GB"/>
              </w:rPr>
              <w:t>(free text)</w:t>
            </w:r>
          </w:p>
        </w:tc>
      </w:tr>
      <w:tr w:rsidR="000F2B3E" w:rsidRPr="0029408A" w14:paraId="335E2EC4" w14:textId="77777777" w:rsidTr="0029408A">
        <w:tc>
          <w:tcPr>
            <w:tcW w:w="846" w:type="dxa"/>
            <w:shd w:val="clear" w:color="auto" w:fill="auto"/>
          </w:tcPr>
          <w:p w14:paraId="16A26BF7"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7014A0B2" w14:textId="77777777" w:rsidR="00393560" w:rsidRPr="0029408A" w:rsidRDefault="00CA7E43"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If it is convertible - mandatory or optional conversion</w:t>
            </w:r>
          </w:p>
        </w:tc>
        <w:tc>
          <w:tcPr>
            <w:tcW w:w="5387" w:type="dxa"/>
            <w:shd w:val="clear" w:color="auto" w:fill="auto"/>
          </w:tcPr>
          <w:p w14:paraId="6265AED2" w14:textId="77777777" w:rsidR="00393560" w:rsidRPr="0029408A" w:rsidRDefault="00784A0D"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For convertible instruments it shall be specified whether the conversion is mandatory or optional. It shall be indicated:</w:t>
            </w:r>
          </w:p>
          <w:p w14:paraId="71F08654" w14:textId="77777777" w:rsidR="00393560" w:rsidRPr="0029408A" w:rsidRDefault="0048650E"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"mandatory"; "optional"; "N / A"; "at the choice of the owners"; "at the choice of the issuer"; "at the choice of the holders and the issuer".</w:t>
            </w:r>
          </w:p>
        </w:tc>
      </w:tr>
      <w:tr w:rsidR="000F2B3E" w:rsidRPr="0029408A" w14:paraId="21729235" w14:textId="77777777" w:rsidTr="0029408A">
        <w:tc>
          <w:tcPr>
            <w:tcW w:w="846" w:type="dxa"/>
            <w:shd w:val="clear" w:color="auto" w:fill="auto"/>
          </w:tcPr>
          <w:p w14:paraId="3F34DE8F"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6A4AE71E" w14:textId="77777777" w:rsidR="00393560" w:rsidRPr="0029408A" w:rsidRDefault="0048650E"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If it is convertible, the type of instrument to which it can be converted shall be specified</w:t>
            </w:r>
          </w:p>
        </w:tc>
        <w:tc>
          <w:tcPr>
            <w:tcW w:w="5387" w:type="dxa"/>
            <w:shd w:val="clear" w:color="auto" w:fill="auto"/>
          </w:tcPr>
          <w:p w14:paraId="56915B90" w14:textId="77777777" w:rsidR="00393560" w:rsidRPr="0029408A" w:rsidRDefault="0048650E"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For convertible instruments, </w:t>
            </w:r>
            <w:r w:rsidR="00277E27" w:rsidRPr="0029408A">
              <w:rPr>
                <w:rFonts w:ascii="Times New Roman" w:hAnsi="Times New Roman"/>
                <w:color w:val="000000"/>
                <w:sz w:val="24"/>
                <w:szCs w:val="24"/>
                <w:lang w:val="en-GB"/>
              </w:rPr>
              <w:t>it shall be specified</w:t>
            </w:r>
            <w:r w:rsidRPr="0029408A">
              <w:rPr>
                <w:rFonts w:ascii="Times New Roman" w:hAnsi="Times New Roman"/>
                <w:color w:val="000000"/>
                <w:sz w:val="24"/>
                <w:szCs w:val="24"/>
                <w:lang w:val="en-GB"/>
              </w:rPr>
              <w:t xml:space="preserve"> the type of instrument in which they are convertible. Contributes to the assessment of loss absorption capacity. It shall be indicated "Common Equity Tier 1 capital", "</w:t>
            </w:r>
            <w:r w:rsidR="00E541A3" w:rsidRPr="0029408A">
              <w:rPr>
                <w:rFonts w:ascii="Times New Roman" w:hAnsi="Times New Roman"/>
                <w:color w:val="000000"/>
                <w:sz w:val="24"/>
                <w:szCs w:val="24"/>
                <w:lang w:val="en-GB"/>
              </w:rPr>
              <w:t xml:space="preserve">Additional Tier </w:t>
            </w:r>
            <w:r w:rsidRPr="0029408A">
              <w:rPr>
                <w:rFonts w:ascii="Times New Roman" w:hAnsi="Times New Roman"/>
                <w:color w:val="000000"/>
                <w:sz w:val="24"/>
                <w:szCs w:val="24"/>
                <w:lang w:val="en-GB"/>
              </w:rPr>
              <w:t>1", "tier 2" or "other".</w:t>
            </w:r>
          </w:p>
        </w:tc>
      </w:tr>
      <w:tr w:rsidR="000F2B3E" w:rsidRPr="0029408A" w14:paraId="5803E6D2" w14:textId="77777777" w:rsidTr="0029408A">
        <w:tc>
          <w:tcPr>
            <w:tcW w:w="846" w:type="dxa"/>
            <w:shd w:val="clear" w:color="auto" w:fill="auto"/>
          </w:tcPr>
          <w:p w14:paraId="435FCE80"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4D81D6C5" w14:textId="77777777" w:rsidR="00393560" w:rsidRPr="0029408A" w:rsidRDefault="0048650E" w:rsidP="0048650E">
            <w:pPr>
              <w:rPr>
                <w:rFonts w:ascii="Times New Roman" w:hAnsi="Times New Roman"/>
                <w:color w:val="000000"/>
                <w:sz w:val="24"/>
                <w:szCs w:val="24"/>
                <w:lang w:val="en-GB"/>
              </w:rPr>
            </w:pPr>
            <w:r w:rsidRPr="0029408A">
              <w:rPr>
                <w:rFonts w:ascii="Times New Roman" w:hAnsi="Times New Roman"/>
                <w:color w:val="000000"/>
                <w:sz w:val="24"/>
                <w:szCs w:val="24"/>
                <w:lang w:val="en-GB"/>
              </w:rPr>
              <w:t>If it is convertible, the issuer of the instrument to which it is converted shall be specified</w:t>
            </w:r>
          </w:p>
        </w:tc>
        <w:tc>
          <w:tcPr>
            <w:tcW w:w="5387" w:type="dxa"/>
            <w:shd w:val="clear" w:color="auto" w:fill="auto"/>
          </w:tcPr>
          <w:p w14:paraId="09192E58" w14:textId="77777777" w:rsidR="00393560" w:rsidRPr="0029408A" w:rsidRDefault="00277E27"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For convertible instruments, the issuer of the instrument in which it is converted shall be specified.</w:t>
            </w:r>
          </w:p>
          <w:p w14:paraId="2613933A" w14:textId="77777777" w:rsidR="00393560" w:rsidRPr="0029408A" w:rsidRDefault="00F45D88" w:rsidP="006050BC">
            <w:pPr>
              <w:rPr>
                <w:rFonts w:ascii="Times New Roman" w:hAnsi="Times New Roman"/>
                <w:color w:val="000000"/>
                <w:sz w:val="24"/>
                <w:szCs w:val="24"/>
                <w:lang w:val="en-GB"/>
              </w:rPr>
            </w:pPr>
            <w:r w:rsidRPr="0029408A">
              <w:rPr>
                <w:rFonts w:ascii="Times New Roman" w:hAnsi="Times New Roman"/>
                <w:i/>
                <w:color w:val="000000"/>
                <w:sz w:val="24"/>
                <w:szCs w:val="24"/>
                <w:lang w:val="en-GB"/>
              </w:rPr>
              <w:t>(free text)</w:t>
            </w:r>
          </w:p>
        </w:tc>
      </w:tr>
      <w:tr w:rsidR="000F2B3E" w:rsidRPr="0029408A" w14:paraId="46850A4F" w14:textId="77777777" w:rsidTr="0029408A">
        <w:tc>
          <w:tcPr>
            <w:tcW w:w="846" w:type="dxa"/>
            <w:shd w:val="clear" w:color="auto" w:fill="auto"/>
          </w:tcPr>
          <w:p w14:paraId="28BADC75"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23A84A00" w14:textId="77777777" w:rsidR="00393560" w:rsidRPr="0029408A" w:rsidRDefault="0048650E"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Features of reduction of the book value</w:t>
            </w:r>
          </w:p>
        </w:tc>
        <w:tc>
          <w:tcPr>
            <w:tcW w:w="5387" w:type="dxa"/>
            <w:shd w:val="clear" w:color="auto" w:fill="auto"/>
          </w:tcPr>
          <w:p w14:paraId="0A2B9F25" w14:textId="77777777" w:rsidR="00393560" w:rsidRPr="0029408A" w:rsidRDefault="00CB3302"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It shall be specified whether there is a reduction feature in the book value. "Yes" or "No" shall be indicated.</w:t>
            </w:r>
          </w:p>
        </w:tc>
      </w:tr>
      <w:tr w:rsidR="000F2B3E" w:rsidRPr="0029408A" w14:paraId="67A4FEF9" w14:textId="77777777" w:rsidTr="0029408A">
        <w:tc>
          <w:tcPr>
            <w:tcW w:w="846" w:type="dxa"/>
            <w:shd w:val="clear" w:color="auto" w:fill="auto"/>
          </w:tcPr>
          <w:p w14:paraId="78E9578E"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2AD0E124" w14:textId="77777777" w:rsidR="00393560" w:rsidRPr="0029408A" w:rsidRDefault="0048650E"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In case of a reduction of the book value, the factor (s) that trigger it</w:t>
            </w:r>
          </w:p>
        </w:tc>
        <w:tc>
          <w:tcPr>
            <w:tcW w:w="5387" w:type="dxa"/>
            <w:shd w:val="clear" w:color="auto" w:fill="auto"/>
          </w:tcPr>
          <w:p w14:paraId="2A59F3FA" w14:textId="77777777" w:rsidR="00393560" w:rsidRPr="0029408A" w:rsidRDefault="00692244"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The factors that trigger the reduction in the book value shall be specified. If one or more authorities have the capacity to trigger the reduction in the book value, these authorities shall be indicated. For each of the authorities it will be mentioned whether the legal basis for triggering the reduction in the book value is represented by contractual clauses (contractual approach) or is provided by statutory modalities (statutory approach).</w:t>
            </w:r>
          </w:p>
          <w:p w14:paraId="57F185C0" w14:textId="77777777" w:rsidR="00393560" w:rsidRPr="0029408A" w:rsidRDefault="00F45D88" w:rsidP="006050BC">
            <w:pPr>
              <w:rPr>
                <w:rFonts w:ascii="Times New Roman" w:hAnsi="Times New Roman"/>
                <w:color w:val="000000"/>
                <w:sz w:val="24"/>
                <w:szCs w:val="24"/>
                <w:lang w:val="en-GB"/>
              </w:rPr>
            </w:pPr>
            <w:r w:rsidRPr="0029408A">
              <w:rPr>
                <w:rFonts w:ascii="Times New Roman" w:hAnsi="Times New Roman"/>
                <w:i/>
                <w:color w:val="000000"/>
                <w:sz w:val="24"/>
                <w:szCs w:val="24"/>
                <w:lang w:val="en-GB"/>
              </w:rPr>
              <w:lastRenderedPageBreak/>
              <w:t>(free text)</w:t>
            </w:r>
          </w:p>
        </w:tc>
      </w:tr>
      <w:tr w:rsidR="000F2B3E" w:rsidRPr="0029408A" w14:paraId="0417D1B0" w14:textId="77777777" w:rsidTr="0029408A">
        <w:tc>
          <w:tcPr>
            <w:tcW w:w="846" w:type="dxa"/>
            <w:shd w:val="clear" w:color="auto" w:fill="auto"/>
          </w:tcPr>
          <w:p w14:paraId="3FD689B2"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246D5971" w14:textId="77777777" w:rsidR="00393560" w:rsidRPr="0029408A" w:rsidRDefault="00FC3189" w:rsidP="00F54ADE">
            <w:pPr>
              <w:rPr>
                <w:rFonts w:ascii="Times New Roman" w:hAnsi="Times New Roman"/>
                <w:color w:val="000000"/>
                <w:sz w:val="24"/>
                <w:szCs w:val="24"/>
                <w:lang w:val="en-GB"/>
              </w:rPr>
            </w:pPr>
            <w:r w:rsidRPr="0029408A">
              <w:rPr>
                <w:rFonts w:ascii="Times New Roman" w:hAnsi="Times New Roman"/>
                <w:color w:val="000000"/>
                <w:sz w:val="24"/>
                <w:szCs w:val="24"/>
                <w:lang w:val="en-GB"/>
              </w:rPr>
              <w:t>In the event of a reduction in the book value, in full or in part</w:t>
            </w:r>
          </w:p>
        </w:tc>
        <w:tc>
          <w:tcPr>
            <w:tcW w:w="5387" w:type="dxa"/>
            <w:shd w:val="clear" w:color="auto" w:fill="auto"/>
          </w:tcPr>
          <w:p w14:paraId="120D0D7C" w14:textId="77777777" w:rsidR="00FC3189" w:rsidRPr="0029408A" w:rsidRDefault="00FC3189" w:rsidP="0029408A">
            <w:pPr>
              <w:spacing w:after="0" w:line="240" w:lineRule="auto"/>
              <w:rPr>
                <w:rFonts w:ascii="Times New Roman" w:hAnsi="Times New Roman"/>
                <w:color w:val="000000"/>
                <w:sz w:val="24"/>
                <w:szCs w:val="24"/>
                <w:lang w:val="en-GB"/>
              </w:rPr>
            </w:pPr>
            <w:r w:rsidRPr="0029408A">
              <w:rPr>
                <w:rFonts w:ascii="Times New Roman" w:hAnsi="Times New Roman"/>
                <w:color w:val="000000"/>
                <w:sz w:val="24"/>
                <w:szCs w:val="24"/>
                <w:lang w:val="en-GB"/>
              </w:rPr>
              <w:t>It shall be specified whether the instrument will always be subject to a full value reduction, whether it may be subject to a partial value reduction or whether it will always be subject to a partial value reduction. Contributes to the assessment of the level of loss absorption capacity when reducing the book value.</w:t>
            </w:r>
          </w:p>
          <w:p w14:paraId="19CB01D3" w14:textId="77777777" w:rsidR="00FC3189" w:rsidRPr="0029408A" w:rsidRDefault="00FC3189" w:rsidP="0029408A">
            <w:pPr>
              <w:spacing w:after="0" w:line="240" w:lineRule="auto"/>
              <w:rPr>
                <w:rFonts w:ascii="Times New Roman" w:hAnsi="Times New Roman"/>
                <w:color w:val="000000"/>
                <w:sz w:val="24"/>
                <w:szCs w:val="24"/>
                <w:lang w:val="en-GB"/>
              </w:rPr>
            </w:pPr>
          </w:p>
          <w:p w14:paraId="1C11C2D6" w14:textId="77777777" w:rsidR="00393560" w:rsidRPr="0029408A" w:rsidRDefault="00FC3189" w:rsidP="0029408A">
            <w:pPr>
              <w:pStyle w:val="ListParagraph"/>
              <w:tabs>
                <w:tab w:val="left" w:pos="353"/>
              </w:tabs>
              <w:spacing w:after="160" w:line="259" w:lineRule="auto"/>
              <w:ind w:left="31"/>
              <w:rPr>
                <w:color w:val="000000"/>
              </w:rPr>
            </w:pPr>
            <w:r w:rsidRPr="0029408A">
              <w:rPr>
                <w:color w:val="000000"/>
              </w:rPr>
              <w:t>It shall be indicated:</w:t>
            </w:r>
            <w:r w:rsidR="00393560" w:rsidRPr="0029408A">
              <w:rPr>
                <w:color w:val="000000"/>
              </w:rPr>
              <w:t xml:space="preserve"> </w:t>
            </w:r>
          </w:p>
          <w:p w14:paraId="706C54A5" w14:textId="77777777" w:rsidR="00393560" w:rsidRPr="0029408A" w:rsidRDefault="00393560" w:rsidP="0029408A">
            <w:pPr>
              <w:pStyle w:val="ListParagraph"/>
              <w:numPr>
                <w:ilvl w:val="0"/>
                <w:numId w:val="11"/>
              </w:numPr>
              <w:tabs>
                <w:tab w:val="left" w:pos="353"/>
              </w:tabs>
              <w:spacing w:after="160" w:line="259" w:lineRule="auto"/>
              <w:rPr>
                <w:color w:val="000000"/>
              </w:rPr>
            </w:pPr>
            <w:r w:rsidRPr="0029408A">
              <w:rPr>
                <w:color w:val="000000"/>
              </w:rPr>
              <w:t>„</w:t>
            </w:r>
            <w:r w:rsidR="001C0469" w:rsidRPr="00CC4CEB">
              <w:t xml:space="preserve"> </w:t>
            </w:r>
            <w:proofErr w:type="gramStart"/>
            <w:r w:rsidR="001C0469" w:rsidRPr="0029408A">
              <w:rPr>
                <w:color w:val="000000"/>
              </w:rPr>
              <w:t>always</w:t>
            </w:r>
            <w:proofErr w:type="gramEnd"/>
            <w:r w:rsidR="001C0469" w:rsidRPr="0029408A">
              <w:rPr>
                <w:color w:val="000000"/>
              </w:rPr>
              <w:t xml:space="preserve"> in full</w:t>
            </w:r>
            <w:r w:rsidRPr="0029408A">
              <w:rPr>
                <w:color w:val="000000"/>
              </w:rPr>
              <w:t xml:space="preserve">”, </w:t>
            </w:r>
          </w:p>
          <w:p w14:paraId="06F83408" w14:textId="77777777" w:rsidR="00393560" w:rsidRPr="0029408A" w:rsidRDefault="00393560" w:rsidP="0029408A">
            <w:pPr>
              <w:pStyle w:val="ListParagraph"/>
              <w:numPr>
                <w:ilvl w:val="0"/>
                <w:numId w:val="11"/>
              </w:numPr>
              <w:tabs>
                <w:tab w:val="left" w:pos="353"/>
              </w:tabs>
              <w:spacing w:after="160" w:line="259" w:lineRule="auto"/>
              <w:rPr>
                <w:color w:val="000000"/>
              </w:rPr>
            </w:pPr>
            <w:r w:rsidRPr="0029408A">
              <w:rPr>
                <w:color w:val="000000"/>
              </w:rPr>
              <w:t>„</w:t>
            </w:r>
            <w:r w:rsidR="001C0469" w:rsidRPr="00CC4CEB">
              <w:t xml:space="preserve"> </w:t>
            </w:r>
            <w:proofErr w:type="gramStart"/>
            <w:r w:rsidR="001C0469" w:rsidRPr="0029408A">
              <w:rPr>
                <w:color w:val="000000"/>
              </w:rPr>
              <w:t>in</w:t>
            </w:r>
            <w:proofErr w:type="gramEnd"/>
            <w:r w:rsidR="001C0469" w:rsidRPr="0029408A">
              <w:rPr>
                <w:color w:val="000000"/>
              </w:rPr>
              <w:t xml:space="preserve"> whole or in part</w:t>
            </w:r>
            <w:r w:rsidRPr="0029408A">
              <w:rPr>
                <w:color w:val="000000"/>
              </w:rPr>
              <w:t xml:space="preserve">”, </w:t>
            </w:r>
          </w:p>
          <w:p w14:paraId="7AF0D492" w14:textId="77777777" w:rsidR="00393560" w:rsidRPr="0029408A" w:rsidRDefault="00393560" w:rsidP="0029408A">
            <w:pPr>
              <w:pStyle w:val="ListParagraph"/>
              <w:numPr>
                <w:ilvl w:val="0"/>
                <w:numId w:val="11"/>
              </w:numPr>
              <w:tabs>
                <w:tab w:val="left" w:pos="353"/>
              </w:tabs>
              <w:spacing w:after="160" w:line="259" w:lineRule="auto"/>
              <w:rPr>
                <w:color w:val="000000"/>
              </w:rPr>
            </w:pPr>
            <w:r w:rsidRPr="0029408A">
              <w:rPr>
                <w:color w:val="000000"/>
              </w:rPr>
              <w:t>„</w:t>
            </w:r>
            <w:r w:rsidR="001C0469" w:rsidRPr="00CC4CEB">
              <w:t xml:space="preserve"> </w:t>
            </w:r>
            <w:proofErr w:type="gramStart"/>
            <w:r w:rsidR="001C0469" w:rsidRPr="0029408A">
              <w:rPr>
                <w:color w:val="000000"/>
              </w:rPr>
              <w:t>always</w:t>
            </w:r>
            <w:proofErr w:type="gramEnd"/>
            <w:r w:rsidR="001C0469" w:rsidRPr="0029408A">
              <w:rPr>
                <w:color w:val="000000"/>
              </w:rPr>
              <w:t xml:space="preserve"> partially</w:t>
            </w:r>
            <w:r w:rsidRPr="0029408A">
              <w:rPr>
                <w:color w:val="000000"/>
              </w:rPr>
              <w:t>”.</w:t>
            </w:r>
          </w:p>
        </w:tc>
      </w:tr>
      <w:tr w:rsidR="000F2B3E" w:rsidRPr="0029408A" w14:paraId="388C9724" w14:textId="77777777" w:rsidTr="0029408A">
        <w:tc>
          <w:tcPr>
            <w:tcW w:w="846" w:type="dxa"/>
            <w:shd w:val="clear" w:color="auto" w:fill="auto"/>
          </w:tcPr>
          <w:p w14:paraId="20D40F1A"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02541AD6" w14:textId="77777777" w:rsidR="00393560" w:rsidRPr="0029408A" w:rsidRDefault="000A4648"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In case of a reduction in the book value, permanent or temporary</w:t>
            </w:r>
          </w:p>
        </w:tc>
        <w:tc>
          <w:tcPr>
            <w:tcW w:w="5387" w:type="dxa"/>
            <w:shd w:val="clear" w:color="auto" w:fill="auto"/>
          </w:tcPr>
          <w:p w14:paraId="6F9634AB" w14:textId="77777777" w:rsidR="00393560" w:rsidRPr="0029408A" w:rsidRDefault="00951728" w:rsidP="0029408A">
            <w:pPr>
              <w:pStyle w:val="ListParagraph"/>
              <w:tabs>
                <w:tab w:val="left" w:pos="353"/>
              </w:tabs>
              <w:spacing w:after="160" w:line="259" w:lineRule="auto"/>
              <w:ind w:left="0"/>
              <w:rPr>
                <w:color w:val="000000"/>
              </w:rPr>
            </w:pPr>
            <w:r w:rsidRPr="0029408A">
              <w:rPr>
                <w:color w:val="000000"/>
              </w:rPr>
              <w:t>For an instrument with a mechanism for reducing the book value, it shall be specified whether the reduction in the book value is permanent or temporary. It shall be indicated:</w:t>
            </w:r>
          </w:p>
          <w:p w14:paraId="706F756A" w14:textId="77777777" w:rsidR="00393560" w:rsidRPr="0029408A" w:rsidRDefault="00393560" w:rsidP="0029408A">
            <w:pPr>
              <w:pStyle w:val="ListParagraph"/>
              <w:numPr>
                <w:ilvl w:val="0"/>
                <w:numId w:val="11"/>
              </w:numPr>
              <w:tabs>
                <w:tab w:val="left" w:pos="353"/>
              </w:tabs>
              <w:spacing w:after="160" w:line="259" w:lineRule="auto"/>
              <w:ind w:left="0" w:firstLine="0"/>
              <w:rPr>
                <w:color w:val="000000"/>
              </w:rPr>
            </w:pPr>
            <w:r w:rsidRPr="0029408A">
              <w:rPr>
                <w:color w:val="000000"/>
              </w:rPr>
              <w:t xml:space="preserve">„permanent”, </w:t>
            </w:r>
          </w:p>
          <w:p w14:paraId="7EF846A2" w14:textId="77777777" w:rsidR="00393560" w:rsidRPr="0029408A" w:rsidRDefault="00393560" w:rsidP="0029408A">
            <w:pPr>
              <w:pStyle w:val="ListParagraph"/>
              <w:numPr>
                <w:ilvl w:val="0"/>
                <w:numId w:val="11"/>
              </w:numPr>
              <w:tabs>
                <w:tab w:val="left" w:pos="353"/>
              </w:tabs>
              <w:spacing w:after="160" w:line="259" w:lineRule="auto"/>
              <w:ind w:left="0" w:firstLine="0"/>
              <w:rPr>
                <w:color w:val="000000"/>
              </w:rPr>
            </w:pPr>
            <w:r w:rsidRPr="0029408A">
              <w:rPr>
                <w:color w:val="000000"/>
              </w:rPr>
              <w:t>„temporar</w:t>
            </w:r>
            <w:r w:rsidR="00F45F3A" w:rsidRPr="0029408A">
              <w:rPr>
                <w:color w:val="000000"/>
              </w:rPr>
              <w:t>y</w:t>
            </w:r>
            <w:r w:rsidRPr="0029408A">
              <w:rPr>
                <w:color w:val="000000"/>
              </w:rPr>
              <w:t xml:space="preserve">” </w:t>
            </w:r>
            <w:r w:rsidR="00F45F3A" w:rsidRPr="0029408A">
              <w:rPr>
                <w:color w:val="000000"/>
              </w:rPr>
              <w:t>or</w:t>
            </w:r>
            <w:r w:rsidRPr="0029408A">
              <w:rPr>
                <w:color w:val="000000"/>
              </w:rPr>
              <w:t xml:space="preserve"> </w:t>
            </w:r>
          </w:p>
          <w:p w14:paraId="15BAC10C" w14:textId="77777777" w:rsidR="00393560" w:rsidRPr="0029408A" w:rsidRDefault="00393560" w:rsidP="0029408A">
            <w:pPr>
              <w:pStyle w:val="ListParagraph"/>
              <w:numPr>
                <w:ilvl w:val="0"/>
                <w:numId w:val="11"/>
              </w:numPr>
              <w:tabs>
                <w:tab w:val="left" w:pos="353"/>
              </w:tabs>
              <w:spacing w:after="160" w:line="259" w:lineRule="auto"/>
              <w:ind w:left="0" w:firstLine="0"/>
              <w:rPr>
                <w:color w:val="000000"/>
              </w:rPr>
            </w:pPr>
            <w:r w:rsidRPr="0029408A">
              <w:rPr>
                <w:color w:val="000000"/>
              </w:rPr>
              <w:t>„N/A”.</w:t>
            </w:r>
          </w:p>
        </w:tc>
      </w:tr>
      <w:tr w:rsidR="000F2B3E" w:rsidRPr="0029408A" w14:paraId="6BCE7DBB" w14:textId="77777777" w:rsidTr="0029408A">
        <w:tc>
          <w:tcPr>
            <w:tcW w:w="846" w:type="dxa"/>
            <w:shd w:val="clear" w:color="auto" w:fill="auto"/>
          </w:tcPr>
          <w:p w14:paraId="048F193F"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00C83F36" w14:textId="77777777" w:rsidR="00393560" w:rsidRPr="0029408A" w:rsidRDefault="00F45F3A"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In case of a temporary reduction in the book value, the description of the mechanism for increasing the book value</w:t>
            </w:r>
          </w:p>
        </w:tc>
        <w:tc>
          <w:tcPr>
            <w:tcW w:w="5387" w:type="dxa"/>
            <w:shd w:val="clear" w:color="auto" w:fill="auto"/>
          </w:tcPr>
          <w:p w14:paraId="1D2DAC5F" w14:textId="77777777" w:rsidR="00393560" w:rsidRPr="0029408A" w:rsidRDefault="00AA218D"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The mechanism for increasing the book value shall be described.</w:t>
            </w:r>
          </w:p>
          <w:p w14:paraId="7C3A835D" w14:textId="77777777" w:rsidR="00393560" w:rsidRPr="0029408A" w:rsidRDefault="00F45D88" w:rsidP="006050BC">
            <w:pPr>
              <w:rPr>
                <w:rFonts w:ascii="Times New Roman" w:hAnsi="Times New Roman"/>
                <w:color w:val="000000"/>
                <w:sz w:val="24"/>
                <w:szCs w:val="24"/>
                <w:lang w:val="en-GB"/>
              </w:rPr>
            </w:pPr>
            <w:r w:rsidRPr="0029408A">
              <w:rPr>
                <w:rFonts w:ascii="Times New Roman" w:hAnsi="Times New Roman"/>
                <w:i/>
                <w:color w:val="000000"/>
                <w:sz w:val="24"/>
                <w:szCs w:val="24"/>
                <w:lang w:val="en-GB"/>
              </w:rPr>
              <w:t>(free text)</w:t>
            </w:r>
          </w:p>
        </w:tc>
      </w:tr>
      <w:tr w:rsidR="00393560" w:rsidRPr="0029408A" w14:paraId="5B34980F" w14:textId="77777777" w:rsidTr="0029408A">
        <w:tc>
          <w:tcPr>
            <w:tcW w:w="846" w:type="dxa"/>
            <w:shd w:val="clear" w:color="auto" w:fill="auto"/>
          </w:tcPr>
          <w:p w14:paraId="6BBA6997" w14:textId="77777777" w:rsidR="00393560" w:rsidRPr="0029408A" w:rsidRDefault="00393560" w:rsidP="0029408A">
            <w:pPr>
              <w:pStyle w:val="ListParagraph"/>
              <w:numPr>
                <w:ilvl w:val="0"/>
                <w:numId w:val="45"/>
              </w:numPr>
              <w:spacing w:after="160" w:line="259" w:lineRule="auto"/>
              <w:rPr>
                <w:color w:val="000000"/>
              </w:rPr>
            </w:pPr>
          </w:p>
        </w:tc>
        <w:tc>
          <w:tcPr>
            <w:tcW w:w="3685" w:type="dxa"/>
            <w:shd w:val="clear" w:color="auto" w:fill="auto"/>
          </w:tcPr>
          <w:p w14:paraId="6971AD08" w14:textId="77777777" w:rsidR="00393560" w:rsidRPr="0029408A" w:rsidRDefault="003B410C"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Position in the subordination hierarchy in case of liquidation (specify the type of instrument of the next higher level)</w:t>
            </w:r>
          </w:p>
        </w:tc>
        <w:tc>
          <w:tcPr>
            <w:tcW w:w="5387" w:type="dxa"/>
            <w:shd w:val="clear" w:color="auto" w:fill="auto"/>
          </w:tcPr>
          <w:p w14:paraId="4907EA64" w14:textId="77777777" w:rsidR="00393560" w:rsidRPr="0029408A" w:rsidRDefault="00970B74" w:rsidP="006050BC">
            <w:pPr>
              <w:rPr>
                <w:rFonts w:ascii="Times New Roman" w:hAnsi="Times New Roman"/>
                <w:color w:val="000000"/>
                <w:sz w:val="24"/>
                <w:szCs w:val="24"/>
                <w:lang w:val="en-GB"/>
              </w:rPr>
            </w:pPr>
            <w:r w:rsidRPr="0029408A">
              <w:rPr>
                <w:rFonts w:ascii="Times New Roman" w:hAnsi="Times New Roman"/>
                <w:color w:val="000000"/>
                <w:sz w:val="24"/>
                <w:szCs w:val="24"/>
                <w:lang w:val="en-GB"/>
              </w:rPr>
              <w:t>The instrument to which it is immediately subordinated shall be specified. Where appropriate, banks shall specify the column numbers in the main characteristics form corresponding to the instruments to which the instrument in question is immediately subordinated.</w:t>
            </w:r>
          </w:p>
          <w:p w14:paraId="4FB7DA0A" w14:textId="77777777" w:rsidR="00393560" w:rsidRPr="0029408A" w:rsidRDefault="00F45D88" w:rsidP="00F45D88">
            <w:pPr>
              <w:rPr>
                <w:rFonts w:ascii="Times New Roman" w:hAnsi="Times New Roman"/>
                <w:color w:val="000000"/>
                <w:sz w:val="24"/>
                <w:szCs w:val="24"/>
                <w:lang w:val="en-GB"/>
              </w:rPr>
            </w:pPr>
            <w:r w:rsidRPr="0029408A">
              <w:rPr>
                <w:rFonts w:ascii="Times New Roman" w:hAnsi="Times New Roman"/>
                <w:i/>
                <w:color w:val="000000"/>
                <w:sz w:val="24"/>
                <w:szCs w:val="24"/>
                <w:lang w:val="en-GB"/>
              </w:rPr>
              <w:t>(free text)</w:t>
            </w:r>
          </w:p>
        </w:tc>
      </w:tr>
    </w:tbl>
    <w:p w14:paraId="0BBA5CE8" w14:textId="77777777" w:rsidR="00393560" w:rsidRPr="0029408A" w:rsidRDefault="00393560" w:rsidP="00393560">
      <w:pPr>
        <w:rPr>
          <w:rFonts w:ascii="Times New Roman" w:hAnsi="Times New Roman"/>
          <w:b/>
          <w:color w:val="000000"/>
          <w:sz w:val="24"/>
          <w:szCs w:val="24"/>
          <w:lang w:val="en-GB"/>
        </w:rPr>
      </w:pPr>
    </w:p>
    <w:p w14:paraId="078AE183" w14:textId="77777777" w:rsidR="00393560" w:rsidRPr="0029408A" w:rsidRDefault="00F1632B" w:rsidP="00393560">
      <w:pPr>
        <w:rPr>
          <w:rFonts w:ascii="Times New Roman" w:hAnsi="Times New Roman"/>
          <w:b/>
          <w:color w:val="000000"/>
          <w:sz w:val="24"/>
          <w:szCs w:val="24"/>
          <w:lang w:val="en-GB"/>
        </w:rPr>
      </w:pPr>
      <w:r w:rsidRPr="0029408A">
        <w:rPr>
          <w:rFonts w:ascii="Times New Roman" w:hAnsi="Times New Roman"/>
          <w:b/>
          <w:color w:val="000000"/>
          <w:sz w:val="24"/>
          <w:szCs w:val="24"/>
          <w:lang w:val="en-GB"/>
        </w:rPr>
        <w:t>Note</w:t>
      </w:r>
      <w:r w:rsidRPr="0029408A">
        <w:rPr>
          <w:rFonts w:ascii="Times New Roman" w:hAnsi="Times New Roman"/>
          <w:color w:val="000000"/>
          <w:sz w:val="24"/>
          <w:szCs w:val="24"/>
          <w:lang w:val="en-GB"/>
        </w:rPr>
        <w:t>: If the question does not apply, indicate "N / A"</w:t>
      </w:r>
    </w:p>
    <w:p w14:paraId="75FA1F06" w14:textId="77777777" w:rsidR="00393560" w:rsidRPr="0029408A" w:rsidRDefault="00393560" w:rsidP="00393560">
      <w:pPr>
        <w:rPr>
          <w:rFonts w:ascii="Times New Roman" w:hAnsi="Times New Roman"/>
          <w:b/>
          <w:color w:val="000000"/>
          <w:sz w:val="24"/>
          <w:szCs w:val="24"/>
          <w:lang w:val="en-GB"/>
        </w:rPr>
      </w:pPr>
    </w:p>
    <w:p w14:paraId="1785317A" w14:textId="77777777" w:rsidR="008E08C4" w:rsidRPr="0029408A" w:rsidRDefault="008E08C4">
      <w:pPr>
        <w:rPr>
          <w:rFonts w:ascii="Times New Roman" w:hAnsi="Times New Roman"/>
          <w:b/>
          <w:color w:val="000000"/>
          <w:sz w:val="24"/>
          <w:szCs w:val="24"/>
          <w:lang w:val="en-GB"/>
        </w:rPr>
        <w:sectPr w:rsidR="008E08C4" w:rsidRPr="0029408A" w:rsidSect="00D95DB1">
          <w:headerReference w:type="even" r:id="rId17"/>
          <w:headerReference w:type="default" r:id="rId18"/>
          <w:footerReference w:type="even" r:id="rId19"/>
          <w:footerReference w:type="default" r:id="rId20"/>
          <w:pgSz w:w="12240" w:h="15840"/>
          <w:pgMar w:top="1134" w:right="850" w:bottom="1134" w:left="1701" w:header="720" w:footer="720" w:gutter="0"/>
          <w:cols w:space="720"/>
          <w:docGrid w:linePitch="360"/>
        </w:sectPr>
      </w:pPr>
    </w:p>
    <w:p w14:paraId="6BC7D861" w14:textId="77777777" w:rsidR="004F7411" w:rsidRPr="0029408A" w:rsidRDefault="004F7411" w:rsidP="004F7411">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lastRenderedPageBreak/>
        <w:t xml:space="preserve">Annex No. 10 </w:t>
      </w:r>
    </w:p>
    <w:p w14:paraId="6CC4F0E1" w14:textId="77777777" w:rsidR="004F7411" w:rsidRPr="0029408A" w:rsidRDefault="004F7411" w:rsidP="004F7411">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to the </w:t>
      </w:r>
      <w:r w:rsidRPr="0029408A">
        <w:rPr>
          <w:rFonts w:ascii="Times New Roman" w:eastAsia="Times New Roman" w:hAnsi="Times New Roman"/>
          <w:bCs/>
          <w:color w:val="000000"/>
          <w:sz w:val="24"/>
          <w:szCs w:val="24"/>
          <w:lang w:val="en-GB"/>
        </w:rPr>
        <w:t>Regulation on the requirements for publication</w:t>
      </w:r>
    </w:p>
    <w:p w14:paraId="5A59DA74" w14:textId="77777777" w:rsidR="003D019F" w:rsidRPr="0029408A" w:rsidRDefault="004F7411" w:rsidP="004F7411">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bCs/>
          <w:color w:val="000000"/>
          <w:sz w:val="24"/>
          <w:szCs w:val="24"/>
          <w:lang w:val="en-GB"/>
        </w:rPr>
        <w:t>of information by banks</w:t>
      </w:r>
      <w:r w:rsidR="00FF5300" w:rsidRPr="0029408A">
        <w:rPr>
          <w:rFonts w:ascii="Times New Roman" w:eastAsia="Times New Roman" w:hAnsi="Times New Roman"/>
          <w:color w:val="000000"/>
          <w:sz w:val="24"/>
          <w:szCs w:val="24"/>
          <w:lang w:val="en-GB" w:eastAsia="ru-RU"/>
        </w:rPr>
        <w:t xml:space="preserve"> </w:t>
      </w:r>
    </w:p>
    <w:p w14:paraId="441E7194" w14:textId="77777777" w:rsidR="008E08C4" w:rsidRPr="0029408A" w:rsidRDefault="008E08C4">
      <w:pPr>
        <w:rPr>
          <w:rFonts w:ascii="Times New Roman" w:hAnsi="Times New Roman"/>
          <w:b/>
          <w:color w:val="000000"/>
          <w:sz w:val="24"/>
          <w:szCs w:val="24"/>
          <w:lang w:val="en-GB"/>
        </w:rPr>
      </w:pPr>
    </w:p>
    <w:p w14:paraId="5EF801A5" w14:textId="77777777" w:rsidR="008E08C4" w:rsidRPr="0029408A" w:rsidRDefault="008E08C4" w:rsidP="008E08C4">
      <w:pPr>
        <w:autoSpaceDE w:val="0"/>
        <w:autoSpaceDN w:val="0"/>
        <w:adjustRightInd w:val="0"/>
        <w:spacing w:before="60" w:after="60"/>
        <w:rPr>
          <w:rFonts w:ascii="Times New Roman" w:hAnsi="Times New Roman"/>
          <w:color w:val="000000"/>
          <w:sz w:val="24"/>
          <w:szCs w:val="24"/>
          <w:lang w:val="en-GB"/>
        </w:rPr>
      </w:pPr>
    </w:p>
    <w:p w14:paraId="6B6410B3" w14:textId="77777777" w:rsidR="008E08C4" w:rsidRPr="0029408A" w:rsidRDefault="00E177F6" w:rsidP="008E08C4">
      <w:pPr>
        <w:jc w:val="center"/>
        <w:rPr>
          <w:rFonts w:ascii="Times New Roman" w:hAnsi="Times New Roman"/>
          <w:b/>
          <w:color w:val="000000"/>
          <w:sz w:val="24"/>
          <w:szCs w:val="24"/>
          <w:lang w:val="en-GB"/>
        </w:rPr>
      </w:pPr>
      <w:r w:rsidRPr="0029408A">
        <w:rPr>
          <w:rFonts w:ascii="Times New Roman" w:hAnsi="Times New Roman"/>
          <w:b/>
          <w:bCs/>
          <w:color w:val="000000"/>
          <w:sz w:val="24"/>
          <w:szCs w:val="24"/>
          <w:lang w:val="en-GB"/>
        </w:rPr>
        <w:t>Form for publishing information on own funds</w:t>
      </w:r>
    </w:p>
    <w:p w14:paraId="78E1833B" w14:textId="77777777" w:rsidR="008E08C4" w:rsidRPr="0029408A" w:rsidRDefault="008E08C4" w:rsidP="008E08C4">
      <w:pPr>
        <w:rPr>
          <w:rFonts w:ascii="Times New Roman" w:hAnsi="Times New Roman"/>
          <w:b/>
          <w:color w:val="000000"/>
          <w:sz w:val="24"/>
          <w:szCs w:val="24"/>
          <w:lang w:val="en-GB"/>
        </w:rPr>
      </w:pPr>
    </w:p>
    <w:tbl>
      <w:tblPr>
        <w:tblW w:w="15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53"/>
        <w:gridCol w:w="1276"/>
        <w:gridCol w:w="2694"/>
        <w:gridCol w:w="6100"/>
      </w:tblGrid>
      <w:tr w:rsidR="00074C65" w:rsidRPr="0029408A" w14:paraId="1233725C" w14:textId="77777777" w:rsidTr="0029408A">
        <w:tc>
          <w:tcPr>
            <w:tcW w:w="704" w:type="dxa"/>
            <w:shd w:val="clear" w:color="auto" w:fill="auto"/>
          </w:tcPr>
          <w:p w14:paraId="7E747753" w14:textId="77777777" w:rsidR="008E08C4" w:rsidRPr="0029408A" w:rsidRDefault="00E177F6"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No</w:t>
            </w:r>
            <w:r w:rsidR="008E08C4" w:rsidRPr="0029408A">
              <w:rPr>
                <w:rFonts w:ascii="Times New Roman" w:hAnsi="Times New Roman"/>
                <w:color w:val="000000"/>
                <w:sz w:val="24"/>
                <w:szCs w:val="24"/>
                <w:lang w:val="en-GB"/>
              </w:rPr>
              <w:t>. d/o</w:t>
            </w:r>
          </w:p>
        </w:tc>
        <w:tc>
          <w:tcPr>
            <w:tcW w:w="4253" w:type="dxa"/>
            <w:shd w:val="clear" w:color="auto" w:fill="auto"/>
          </w:tcPr>
          <w:p w14:paraId="5512A5F5" w14:textId="77777777" w:rsidR="008E08C4" w:rsidRPr="0029408A" w:rsidRDefault="00E177F6" w:rsidP="008E08C4">
            <w:pPr>
              <w:rPr>
                <w:rFonts w:ascii="Times New Roman" w:hAnsi="Times New Roman"/>
                <w:b/>
                <w:color w:val="000000"/>
                <w:sz w:val="24"/>
                <w:szCs w:val="24"/>
                <w:lang w:val="en-GB"/>
              </w:rPr>
            </w:pPr>
            <w:r w:rsidRPr="0029408A">
              <w:rPr>
                <w:rFonts w:ascii="Times New Roman" w:hAnsi="Times New Roman"/>
                <w:b/>
                <w:color w:val="000000"/>
                <w:sz w:val="24"/>
                <w:szCs w:val="24"/>
                <w:lang w:val="en-GB"/>
              </w:rPr>
              <w:t>Name of the indicator</w:t>
            </w:r>
          </w:p>
        </w:tc>
        <w:tc>
          <w:tcPr>
            <w:tcW w:w="1276" w:type="dxa"/>
            <w:shd w:val="clear" w:color="auto" w:fill="auto"/>
          </w:tcPr>
          <w:p w14:paraId="47759D1E" w14:textId="77777777" w:rsidR="008E08C4" w:rsidRPr="0029408A" w:rsidRDefault="00E177F6" w:rsidP="0029408A">
            <w:pPr>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Value</w:t>
            </w:r>
          </w:p>
        </w:tc>
        <w:tc>
          <w:tcPr>
            <w:tcW w:w="2694" w:type="dxa"/>
            <w:shd w:val="clear" w:color="auto" w:fill="auto"/>
          </w:tcPr>
          <w:p w14:paraId="06195E12" w14:textId="77777777" w:rsidR="008E08C4" w:rsidRPr="0029408A" w:rsidRDefault="00406BC5" w:rsidP="008E08C4">
            <w:pPr>
              <w:rPr>
                <w:rFonts w:ascii="Times New Roman" w:hAnsi="Times New Roman"/>
                <w:b/>
                <w:color w:val="000000"/>
                <w:sz w:val="24"/>
                <w:szCs w:val="24"/>
                <w:lang w:val="en-GB"/>
              </w:rPr>
            </w:pPr>
            <w:r w:rsidRPr="0029408A">
              <w:rPr>
                <w:rFonts w:ascii="Times New Roman" w:hAnsi="Times New Roman"/>
                <w:b/>
                <w:color w:val="000000"/>
                <w:sz w:val="24"/>
                <w:szCs w:val="24"/>
                <w:lang w:val="en-GB"/>
              </w:rPr>
              <w:t>Legal references</w:t>
            </w:r>
          </w:p>
        </w:tc>
        <w:tc>
          <w:tcPr>
            <w:tcW w:w="6100" w:type="dxa"/>
            <w:shd w:val="clear" w:color="auto" w:fill="auto"/>
          </w:tcPr>
          <w:p w14:paraId="163A87AC" w14:textId="77777777" w:rsidR="008E08C4" w:rsidRPr="0029408A" w:rsidRDefault="00406BC5" w:rsidP="008E08C4">
            <w:pPr>
              <w:rPr>
                <w:rFonts w:ascii="Times New Roman" w:hAnsi="Times New Roman"/>
                <w:b/>
                <w:color w:val="000000"/>
                <w:sz w:val="24"/>
                <w:szCs w:val="24"/>
                <w:lang w:val="en-GB"/>
              </w:rPr>
            </w:pPr>
            <w:r w:rsidRPr="0029408A">
              <w:rPr>
                <w:rFonts w:ascii="Times New Roman" w:hAnsi="Times New Roman"/>
                <w:b/>
                <w:color w:val="000000"/>
                <w:sz w:val="24"/>
                <w:szCs w:val="24"/>
                <w:lang w:val="en-GB"/>
              </w:rPr>
              <w:t>Instructions for completing the form</w:t>
            </w:r>
          </w:p>
          <w:p w14:paraId="5E738EA0" w14:textId="77777777" w:rsidR="008E08C4" w:rsidRPr="0029408A" w:rsidRDefault="00065706" w:rsidP="008E08C4">
            <w:pPr>
              <w:rPr>
                <w:rFonts w:ascii="Times New Roman" w:hAnsi="Times New Roman"/>
                <w:i/>
                <w:color w:val="000000"/>
                <w:sz w:val="24"/>
                <w:szCs w:val="24"/>
                <w:lang w:val="en-GB"/>
              </w:rPr>
            </w:pPr>
            <w:r w:rsidRPr="0029408A">
              <w:rPr>
                <w:rFonts w:ascii="Times New Roman" w:hAnsi="Times New Roman"/>
                <w:i/>
                <w:color w:val="000000"/>
                <w:sz w:val="24"/>
                <w:szCs w:val="24"/>
                <w:lang w:val="en-GB"/>
              </w:rPr>
              <w:t>(this column represents instructions for banks and will not be included in the table to be made public)</w:t>
            </w:r>
          </w:p>
        </w:tc>
      </w:tr>
      <w:tr w:rsidR="00074C65" w:rsidRPr="0029408A" w14:paraId="36856E90" w14:textId="77777777" w:rsidTr="0029408A">
        <w:tc>
          <w:tcPr>
            <w:tcW w:w="15027" w:type="dxa"/>
            <w:gridSpan w:val="5"/>
            <w:shd w:val="clear" w:color="auto" w:fill="auto"/>
          </w:tcPr>
          <w:p w14:paraId="5AB6EBEB" w14:textId="77777777" w:rsidR="008E08C4" w:rsidRPr="0029408A" w:rsidRDefault="009A41BD" w:rsidP="008E08C4">
            <w:pPr>
              <w:rPr>
                <w:rFonts w:ascii="Times New Roman" w:hAnsi="Times New Roman"/>
                <w:b/>
                <w:color w:val="000000"/>
                <w:sz w:val="24"/>
                <w:szCs w:val="24"/>
                <w:lang w:val="en-GB"/>
              </w:rPr>
            </w:pPr>
            <w:r w:rsidRPr="0029408A">
              <w:rPr>
                <w:rFonts w:ascii="Times New Roman" w:hAnsi="Times New Roman"/>
                <w:b/>
                <w:color w:val="000000"/>
                <w:sz w:val="24"/>
                <w:szCs w:val="24"/>
                <w:lang w:val="en-GB"/>
              </w:rPr>
              <w:t>Common Equity Tier 1 capital (CET 1): instruments and reserves</w:t>
            </w:r>
          </w:p>
        </w:tc>
      </w:tr>
      <w:tr w:rsidR="00074C65" w:rsidRPr="0029408A" w14:paraId="06D92E0E" w14:textId="77777777" w:rsidTr="0029408A">
        <w:trPr>
          <w:trHeight w:val="895"/>
        </w:trPr>
        <w:tc>
          <w:tcPr>
            <w:tcW w:w="704" w:type="dxa"/>
            <w:shd w:val="clear" w:color="auto" w:fill="auto"/>
          </w:tcPr>
          <w:p w14:paraId="37EF5C23"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74AE6BAD" w14:textId="77777777" w:rsidR="008E08C4" w:rsidRPr="0029408A" w:rsidRDefault="002353D8"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Capital instruments and issue premium accounts</w:t>
            </w:r>
          </w:p>
        </w:tc>
        <w:tc>
          <w:tcPr>
            <w:tcW w:w="1276" w:type="dxa"/>
            <w:shd w:val="clear" w:color="auto" w:fill="auto"/>
          </w:tcPr>
          <w:p w14:paraId="6265B831"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735822D0" w14:textId="77777777" w:rsidR="008E08C4" w:rsidRPr="0029408A" w:rsidRDefault="00E85C42"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P.10 subp.1) of Regulation 109/2018</w:t>
            </w:r>
          </w:p>
        </w:tc>
        <w:tc>
          <w:tcPr>
            <w:tcW w:w="6100" w:type="dxa"/>
            <w:shd w:val="clear" w:color="auto" w:fill="auto"/>
          </w:tcPr>
          <w:p w14:paraId="173C7ECD" w14:textId="77777777" w:rsidR="008E08C4" w:rsidRPr="0029408A" w:rsidRDefault="0074532C"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It reflects the</w:t>
            </w:r>
            <w:r w:rsidR="00C1230B" w:rsidRPr="0029408A">
              <w:rPr>
                <w:rFonts w:ascii="Times New Roman" w:hAnsi="Times New Roman"/>
                <w:color w:val="000000"/>
                <w:sz w:val="24"/>
                <w:szCs w:val="24"/>
                <w:lang w:val="en-GB"/>
              </w:rPr>
              <w:t xml:space="preserve"> capital instruments and the related issu</w:t>
            </w:r>
            <w:r w:rsidRPr="0029408A">
              <w:rPr>
                <w:rFonts w:ascii="Times New Roman" w:hAnsi="Times New Roman"/>
                <w:color w:val="000000"/>
                <w:sz w:val="24"/>
                <w:szCs w:val="24"/>
                <w:lang w:val="en-GB"/>
              </w:rPr>
              <w:t>e premium accounts</w:t>
            </w:r>
            <w:r w:rsidR="00C1230B" w:rsidRPr="0029408A">
              <w:rPr>
                <w:rFonts w:ascii="Times New Roman" w:hAnsi="Times New Roman"/>
                <w:color w:val="000000"/>
                <w:sz w:val="24"/>
                <w:szCs w:val="24"/>
                <w:lang w:val="en-GB"/>
              </w:rPr>
              <w:t xml:space="preserve"> in accordance with p.10 subp.1) of Regulation 109/2018.</w:t>
            </w:r>
            <w:r w:rsidR="008E08C4" w:rsidRPr="0029408A">
              <w:rPr>
                <w:rFonts w:ascii="Times New Roman" w:hAnsi="Times New Roman"/>
                <w:color w:val="000000"/>
                <w:sz w:val="24"/>
                <w:szCs w:val="24"/>
                <w:lang w:val="en-GB"/>
              </w:rPr>
              <w:t xml:space="preserve"> </w:t>
            </w:r>
          </w:p>
        </w:tc>
      </w:tr>
      <w:tr w:rsidR="00074C65" w:rsidRPr="0029408A" w14:paraId="66A650F1" w14:textId="77777777" w:rsidTr="0029408A">
        <w:tc>
          <w:tcPr>
            <w:tcW w:w="704" w:type="dxa"/>
            <w:shd w:val="clear" w:color="auto" w:fill="auto"/>
          </w:tcPr>
          <w:p w14:paraId="54C88FAC"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2D3CA95B" w14:textId="77777777" w:rsidR="008E08C4" w:rsidRPr="0029408A" w:rsidRDefault="002353D8"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Reported result</w:t>
            </w:r>
          </w:p>
        </w:tc>
        <w:tc>
          <w:tcPr>
            <w:tcW w:w="1276" w:type="dxa"/>
            <w:shd w:val="clear" w:color="auto" w:fill="auto"/>
          </w:tcPr>
          <w:p w14:paraId="0B39C2CE"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41F31BE6" w14:textId="77777777" w:rsidR="008E08C4" w:rsidRPr="0029408A" w:rsidRDefault="00E85C42"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P.10 subp.3) of Regulation 109/2018</w:t>
            </w:r>
          </w:p>
        </w:tc>
        <w:tc>
          <w:tcPr>
            <w:tcW w:w="6100" w:type="dxa"/>
            <w:shd w:val="clear" w:color="auto" w:fill="auto"/>
          </w:tcPr>
          <w:p w14:paraId="26820FD6" w14:textId="77777777" w:rsidR="008E08C4" w:rsidRPr="0029408A" w:rsidRDefault="00EB3FB3"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It reflects the result carried forward before all adjustments regulated in accordance with p.10 subp.3) of Regulation 109/2018 (before the inclusion of any net interim profits or losses).</w:t>
            </w:r>
          </w:p>
        </w:tc>
      </w:tr>
      <w:tr w:rsidR="00074C65" w:rsidRPr="0029408A" w14:paraId="3D93B8B0" w14:textId="77777777" w:rsidTr="0029408A">
        <w:tc>
          <w:tcPr>
            <w:tcW w:w="704" w:type="dxa"/>
            <w:shd w:val="clear" w:color="auto" w:fill="auto"/>
          </w:tcPr>
          <w:p w14:paraId="157C2357"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566488C3" w14:textId="77777777" w:rsidR="008E08C4" w:rsidRPr="0029408A" w:rsidRDefault="00816DBF"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Other accumulated overall result items and other reserves</w:t>
            </w:r>
          </w:p>
        </w:tc>
        <w:tc>
          <w:tcPr>
            <w:tcW w:w="1276" w:type="dxa"/>
            <w:shd w:val="clear" w:color="auto" w:fill="auto"/>
          </w:tcPr>
          <w:p w14:paraId="69DF779B"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3CFC5C30" w14:textId="77777777" w:rsidR="008E08C4" w:rsidRPr="0029408A" w:rsidRDefault="00E85C42"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P.10 subp.4) and 5) of Regulation 109/2018</w:t>
            </w:r>
          </w:p>
        </w:tc>
        <w:tc>
          <w:tcPr>
            <w:tcW w:w="6100" w:type="dxa"/>
            <w:shd w:val="clear" w:color="auto" w:fill="auto"/>
          </w:tcPr>
          <w:p w14:paraId="38695FFA" w14:textId="77777777" w:rsidR="008E08C4" w:rsidRPr="0029408A" w:rsidRDefault="00EF2285"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w:t>
            </w:r>
            <w:proofErr w:type="gramStart"/>
            <w:r w:rsidRPr="0029408A">
              <w:rPr>
                <w:rFonts w:ascii="Times New Roman" w:hAnsi="Times New Roman"/>
                <w:color w:val="000000"/>
                <w:sz w:val="24"/>
                <w:szCs w:val="24"/>
                <w:lang w:val="en-GB"/>
              </w:rPr>
              <w:t>amount</w:t>
            </w:r>
            <w:proofErr w:type="gramEnd"/>
            <w:r w:rsidRPr="0029408A">
              <w:rPr>
                <w:rFonts w:ascii="Times New Roman" w:hAnsi="Times New Roman"/>
                <w:color w:val="000000"/>
                <w:sz w:val="24"/>
                <w:szCs w:val="24"/>
                <w:lang w:val="en-GB"/>
              </w:rPr>
              <w:t xml:space="preserve"> of other elements of the accumulated overall result and other reserves in accordance with p.10 subp.4) and 5) of Regulation 109/2018.</w:t>
            </w:r>
          </w:p>
        </w:tc>
      </w:tr>
      <w:tr w:rsidR="00074C65" w:rsidRPr="0029408A" w14:paraId="58DACC25" w14:textId="77777777" w:rsidTr="0029408A">
        <w:tc>
          <w:tcPr>
            <w:tcW w:w="704" w:type="dxa"/>
            <w:shd w:val="clear" w:color="auto" w:fill="auto"/>
          </w:tcPr>
          <w:p w14:paraId="6720FA9F"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773B98EC" w14:textId="77777777" w:rsidR="008E08C4" w:rsidRPr="0029408A" w:rsidRDefault="00E85C42"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Minority interests (amount that can be included in consolidated Common Equity Tier 1 capital)</w:t>
            </w:r>
          </w:p>
        </w:tc>
        <w:tc>
          <w:tcPr>
            <w:tcW w:w="1276" w:type="dxa"/>
            <w:shd w:val="clear" w:color="auto" w:fill="auto"/>
          </w:tcPr>
          <w:p w14:paraId="44669CE8"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2F9E3DD5" w14:textId="77777777" w:rsidR="008E08C4" w:rsidRPr="0029408A" w:rsidRDefault="00E85C42"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Regulation 109/2018</w:t>
            </w:r>
          </w:p>
        </w:tc>
        <w:tc>
          <w:tcPr>
            <w:tcW w:w="6100" w:type="dxa"/>
            <w:shd w:val="clear" w:color="auto" w:fill="auto"/>
          </w:tcPr>
          <w:p w14:paraId="64B6EE24" w14:textId="77777777" w:rsidR="008E08C4" w:rsidRPr="0029408A" w:rsidRDefault="00271AE3" w:rsidP="00C87B1B">
            <w:pPr>
              <w:rPr>
                <w:rFonts w:ascii="Times New Roman" w:hAnsi="Times New Roman"/>
                <w:color w:val="000000"/>
                <w:sz w:val="24"/>
                <w:szCs w:val="24"/>
                <w:lang w:val="en-GB"/>
              </w:rPr>
            </w:pPr>
            <w:r w:rsidRPr="0029408A">
              <w:rPr>
                <w:rFonts w:ascii="Times New Roman" w:hAnsi="Times New Roman"/>
                <w:color w:val="000000"/>
                <w:sz w:val="24"/>
                <w:szCs w:val="24"/>
                <w:lang w:val="en-GB"/>
              </w:rPr>
              <w:t>It reflects minority interests (the amount that can be included in the consolidated Common Equity Tier 1 capital) in accordance with Regulation 109/2018.</w:t>
            </w:r>
          </w:p>
        </w:tc>
      </w:tr>
      <w:tr w:rsidR="00074C65" w:rsidRPr="0029408A" w14:paraId="59655313" w14:textId="77777777" w:rsidTr="0029408A">
        <w:tc>
          <w:tcPr>
            <w:tcW w:w="704" w:type="dxa"/>
            <w:shd w:val="clear" w:color="auto" w:fill="auto"/>
          </w:tcPr>
          <w:p w14:paraId="5CD684F3"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2CB7527E" w14:textId="77777777" w:rsidR="008E08C4" w:rsidRPr="0029408A" w:rsidRDefault="00E85C42"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Interim profits verified independently, after deducting any foreseeable obligations or dividends</w:t>
            </w:r>
          </w:p>
        </w:tc>
        <w:tc>
          <w:tcPr>
            <w:tcW w:w="1276" w:type="dxa"/>
            <w:shd w:val="clear" w:color="auto" w:fill="auto"/>
          </w:tcPr>
          <w:p w14:paraId="0FE47B0D"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4B515BF1" w14:textId="77777777" w:rsidR="008E08C4" w:rsidRPr="0029408A" w:rsidRDefault="00E85C42"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P.13 of Regulation 109/2018.</w:t>
            </w:r>
          </w:p>
        </w:tc>
        <w:tc>
          <w:tcPr>
            <w:tcW w:w="6100" w:type="dxa"/>
            <w:shd w:val="clear" w:color="auto" w:fill="auto"/>
          </w:tcPr>
          <w:p w14:paraId="0B410B90" w14:textId="77777777" w:rsidR="008E08C4" w:rsidRPr="0029408A" w:rsidRDefault="00CD5D07"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It reflects the interim profits independently verified, after deducting any foreseeable obligations or dividends as provided in p.13 of Regulation 109/2018.</w:t>
            </w:r>
          </w:p>
        </w:tc>
      </w:tr>
      <w:tr w:rsidR="00074C65" w:rsidRPr="0029408A" w14:paraId="48782B4E" w14:textId="77777777" w:rsidTr="0029408A">
        <w:tc>
          <w:tcPr>
            <w:tcW w:w="704" w:type="dxa"/>
            <w:shd w:val="clear" w:color="auto" w:fill="auto"/>
          </w:tcPr>
          <w:p w14:paraId="1F30EFD9"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336E198C" w14:textId="77777777" w:rsidR="008E08C4" w:rsidRPr="0029408A" w:rsidRDefault="00E85C42" w:rsidP="008E08C4">
            <w:pPr>
              <w:rPr>
                <w:rFonts w:ascii="Times New Roman" w:hAnsi="Times New Roman"/>
                <w:b/>
                <w:color w:val="000000"/>
                <w:sz w:val="24"/>
                <w:szCs w:val="24"/>
                <w:lang w:val="en-GB"/>
              </w:rPr>
            </w:pPr>
            <w:r w:rsidRPr="0029408A">
              <w:rPr>
                <w:rFonts w:ascii="Times New Roman" w:hAnsi="Times New Roman"/>
                <w:b/>
                <w:color w:val="000000"/>
                <w:sz w:val="24"/>
                <w:szCs w:val="24"/>
                <w:lang w:val="en-GB"/>
              </w:rPr>
              <w:t>Common own funds (CET 1) before regulated adjustments</w:t>
            </w:r>
          </w:p>
        </w:tc>
        <w:tc>
          <w:tcPr>
            <w:tcW w:w="1276" w:type="dxa"/>
            <w:shd w:val="clear" w:color="auto" w:fill="auto"/>
          </w:tcPr>
          <w:p w14:paraId="21D6CECD"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48C85821" w14:textId="77777777" w:rsidR="008E08C4" w:rsidRPr="0029408A" w:rsidRDefault="00B21EE8"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The s</w:t>
            </w:r>
            <w:r w:rsidR="00E85C42" w:rsidRPr="0029408A">
              <w:rPr>
                <w:rFonts w:ascii="Times New Roman" w:hAnsi="Times New Roman"/>
                <w:color w:val="000000"/>
                <w:sz w:val="24"/>
                <w:szCs w:val="24"/>
                <w:lang w:val="en-GB"/>
              </w:rPr>
              <w:t>um of rows 1-5</w:t>
            </w:r>
          </w:p>
        </w:tc>
        <w:tc>
          <w:tcPr>
            <w:tcW w:w="6100" w:type="dxa"/>
            <w:shd w:val="clear" w:color="auto" w:fill="auto"/>
          </w:tcPr>
          <w:p w14:paraId="48E9B2AB" w14:textId="77777777" w:rsidR="008E08C4" w:rsidRPr="0029408A" w:rsidRDefault="00F83487"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It reflects the sum of rows 1-5.</w:t>
            </w:r>
          </w:p>
        </w:tc>
      </w:tr>
      <w:tr w:rsidR="00074C65" w:rsidRPr="0029408A" w14:paraId="4833F04F" w14:textId="77777777" w:rsidTr="0029408A">
        <w:tc>
          <w:tcPr>
            <w:tcW w:w="15027" w:type="dxa"/>
            <w:gridSpan w:val="5"/>
            <w:shd w:val="clear" w:color="auto" w:fill="auto"/>
          </w:tcPr>
          <w:p w14:paraId="4522195D" w14:textId="77777777" w:rsidR="008E08C4" w:rsidRPr="0029408A" w:rsidRDefault="00F83487" w:rsidP="008E08C4">
            <w:pPr>
              <w:rPr>
                <w:rFonts w:ascii="Times New Roman" w:hAnsi="Times New Roman"/>
                <w:color w:val="000000"/>
                <w:sz w:val="24"/>
                <w:szCs w:val="24"/>
                <w:lang w:val="en-GB"/>
              </w:rPr>
            </w:pPr>
            <w:r w:rsidRPr="0029408A">
              <w:rPr>
                <w:rFonts w:ascii="Times New Roman" w:hAnsi="Times New Roman"/>
                <w:b/>
                <w:color w:val="000000"/>
                <w:sz w:val="24"/>
                <w:szCs w:val="24"/>
                <w:lang w:val="en-GB"/>
              </w:rPr>
              <w:t>Common Equity Tier 1 capital (CET 1): additional adjustments</w:t>
            </w:r>
          </w:p>
        </w:tc>
      </w:tr>
      <w:tr w:rsidR="00074C65" w:rsidRPr="0029408A" w14:paraId="55C77F48" w14:textId="77777777" w:rsidTr="0029408A">
        <w:tc>
          <w:tcPr>
            <w:tcW w:w="704" w:type="dxa"/>
            <w:shd w:val="clear" w:color="auto" w:fill="auto"/>
          </w:tcPr>
          <w:p w14:paraId="0B96D348"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343416B2" w14:textId="77777777" w:rsidR="008E08C4" w:rsidRPr="0029408A" w:rsidRDefault="00E57382"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Additional value adjustments </w:t>
            </w:r>
            <w:r w:rsidRPr="0029408A">
              <w:rPr>
                <w:rFonts w:ascii="Times New Roman" w:hAnsi="Times New Roman"/>
                <w:i/>
                <w:color w:val="000000"/>
                <w:sz w:val="24"/>
                <w:szCs w:val="24"/>
                <w:lang w:val="en-GB"/>
              </w:rPr>
              <w:t>(negative value)</w:t>
            </w:r>
          </w:p>
        </w:tc>
        <w:tc>
          <w:tcPr>
            <w:tcW w:w="1276" w:type="dxa"/>
            <w:shd w:val="clear" w:color="auto" w:fill="auto"/>
          </w:tcPr>
          <w:p w14:paraId="4D578494"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3185FA68" w14:textId="77777777" w:rsidR="008E08C4" w:rsidRPr="0029408A" w:rsidRDefault="00DC1872"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P.28 of Regulation 109/2018</w:t>
            </w:r>
          </w:p>
        </w:tc>
        <w:tc>
          <w:tcPr>
            <w:tcW w:w="6100" w:type="dxa"/>
            <w:shd w:val="clear" w:color="auto" w:fill="auto"/>
          </w:tcPr>
          <w:p w14:paraId="7BE43D0C" w14:textId="77777777" w:rsidR="00147061" w:rsidRPr="0029408A" w:rsidRDefault="00147061" w:rsidP="0029408A">
            <w:pPr>
              <w:spacing w:after="0" w:line="240" w:lineRule="auto"/>
              <w:rPr>
                <w:rFonts w:ascii="Times New Roman" w:hAnsi="Times New Roman"/>
                <w:color w:val="000000"/>
                <w:sz w:val="24"/>
                <w:szCs w:val="24"/>
                <w:lang w:val="en-GB"/>
              </w:rPr>
            </w:pPr>
            <w:r w:rsidRPr="0029408A">
              <w:rPr>
                <w:rFonts w:ascii="Times New Roman" w:hAnsi="Times New Roman"/>
                <w:color w:val="000000"/>
                <w:sz w:val="24"/>
                <w:szCs w:val="24"/>
                <w:lang w:val="en-GB"/>
              </w:rPr>
              <w:t>It reflects the additional value adjustments in accordance with p.28 of Regulation 109/2018.</w:t>
            </w:r>
          </w:p>
          <w:p w14:paraId="7E06EA52" w14:textId="77777777" w:rsidR="00147061" w:rsidRPr="0029408A" w:rsidRDefault="00147061" w:rsidP="0029408A">
            <w:pPr>
              <w:spacing w:after="0" w:line="240" w:lineRule="auto"/>
              <w:rPr>
                <w:rFonts w:ascii="Times New Roman" w:hAnsi="Times New Roman"/>
                <w:color w:val="000000"/>
                <w:sz w:val="24"/>
                <w:szCs w:val="24"/>
                <w:lang w:val="en-GB"/>
              </w:rPr>
            </w:pPr>
          </w:p>
          <w:p w14:paraId="6A583A75" w14:textId="77777777" w:rsidR="008E08C4" w:rsidRPr="0029408A" w:rsidRDefault="00147061" w:rsidP="00147061">
            <w:pPr>
              <w:rPr>
                <w:rFonts w:ascii="Times New Roman" w:hAnsi="Times New Roman"/>
                <w:i/>
                <w:color w:val="000000"/>
                <w:sz w:val="24"/>
                <w:szCs w:val="24"/>
                <w:lang w:val="en-GB"/>
              </w:rPr>
            </w:pPr>
            <w:r w:rsidRPr="0029408A">
              <w:rPr>
                <w:rFonts w:ascii="Times New Roman" w:hAnsi="Times New Roman"/>
                <w:i/>
                <w:color w:val="000000"/>
                <w:sz w:val="24"/>
                <w:szCs w:val="24"/>
                <w:lang w:val="en-GB"/>
              </w:rPr>
              <w:t>(negative value)</w:t>
            </w:r>
          </w:p>
        </w:tc>
      </w:tr>
      <w:tr w:rsidR="00074C65" w:rsidRPr="0029408A" w14:paraId="2A3B1E20" w14:textId="77777777" w:rsidTr="0029408A">
        <w:tc>
          <w:tcPr>
            <w:tcW w:w="704" w:type="dxa"/>
            <w:shd w:val="clear" w:color="auto" w:fill="auto"/>
          </w:tcPr>
          <w:p w14:paraId="616AD2C2"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5A244201" w14:textId="77777777" w:rsidR="008E08C4" w:rsidRPr="0029408A" w:rsidRDefault="00CD2E17"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Intangible assets, excluding related tax liabilities </w:t>
            </w:r>
            <w:r w:rsidRPr="0029408A">
              <w:rPr>
                <w:rFonts w:ascii="Times New Roman" w:hAnsi="Times New Roman"/>
                <w:i/>
                <w:color w:val="000000"/>
                <w:sz w:val="24"/>
                <w:szCs w:val="24"/>
                <w:lang w:val="en-GB"/>
              </w:rPr>
              <w:t>(negative value)</w:t>
            </w:r>
          </w:p>
        </w:tc>
        <w:tc>
          <w:tcPr>
            <w:tcW w:w="1276" w:type="dxa"/>
            <w:shd w:val="clear" w:color="auto" w:fill="auto"/>
          </w:tcPr>
          <w:p w14:paraId="3C04FEEC"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26B4866B" w14:textId="77777777" w:rsidR="008E08C4" w:rsidRPr="0029408A" w:rsidRDefault="00147061"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P.30 subp.2) of Regulation 109/2018</w:t>
            </w:r>
          </w:p>
        </w:tc>
        <w:tc>
          <w:tcPr>
            <w:tcW w:w="6100" w:type="dxa"/>
            <w:shd w:val="clear" w:color="auto" w:fill="auto"/>
          </w:tcPr>
          <w:p w14:paraId="769572D0" w14:textId="77777777" w:rsidR="00861CA1" w:rsidRPr="0029408A" w:rsidRDefault="00861CA1" w:rsidP="0029408A">
            <w:pPr>
              <w:spacing w:after="0" w:line="240" w:lineRule="auto"/>
              <w:rPr>
                <w:rFonts w:ascii="Times New Roman" w:hAnsi="Times New Roman"/>
                <w:color w:val="000000"/>
                <w:sz w:val="24"/>
                <w:szCs w:val="24"/>
                <w:lang w:val="en-GB"/>
              </w:rPr>
            </w:pPr>
            <w:r w:rsidRPr="0029408A">
              <w:rPr>
                <w:rFonts w:ascii="Times New Roman" w:hAnsi="Times New Roman"/>
                <w:color w:val="000000"/>
                <w:sz w:val="24"/>
                <w:szCs w:val="24"/>
                <w:lang w:val="en-GB"/>
              </w:rPr>
              <w:t>It reflects intangible assets, excluding the related tax obligations in accordance with p.30 subp.2) of Regulation 109/2018.</w:t>
            </w:r>
          </w:p>
          <w:p w14:paraId="5E627B63" w14:textId="77777777" w:rsidR="00861CA1" w:rsidRPr="0029408A" w:rsidRDefault="00861CA1" w:rsidP="0029408A">
            <w:pPr>
              <w:spacing w:after="0" w:line="240" w:lineRule="auto"/>
              <w:rPr>
                <w:rFonts w:ascii="Times New Roman" w:hAnsi="Times New Roman"/>
                <w:color w:val="000000"/>
                <w:sz w:val="24"/>
                <w:szCs w:val="24"/>
                <w:lang w:val="en-GB"/>
              </w:rPr>
            </w:pPr>
          </w:p>
          <w:p w14:paraId="03247F7A" w14:textId="77777777" w:rsidR="008E08C4" w:rsidRPr="0029408A" w:rsidRDefault="00861CA1" w:rsidP="00861CA1">
            <w:pPr>
              <w:rPr>
                <w:rFonts w:ascii="Times New Roman" w:hAnsi="Times New Roman"/>
                <w:i/>
                <w:color w:val="000000"/>
                <w:sz w:val="24"/>
                <w:szCs w:val="24"/>
                <w:lang w:val="en-GB"/>
              </w:rPr>
            </w:pPr>
            <w:r w:rsidRPr="0029408A">
              <w:rPr>
                <w:rFonts w:ascii="Times New Roman" w:hAnsi="Times New Roman"/>
                <w:i/>
                <w:color w:val="000000"/>
                <w:sz w:val="24"/>
                <w:szCs w:val="24"/>
                <w:lang w:val="en-GB"/>
              </w:rPr>
              <w:t>(negative value)</w:t>
            </w:r>
          </w:p>
        </w:tc>
      </w:tr>
      <w:tr w:rsidR="00074C65" w:rsidRPr="0029408A" w14:paraId="03C24F10" w14:textId="77777777" w:rsidTr="0029408A">
        <w:tc>
          <w:tcPr>
            <w:tcW w:w="704" w:type="dxa"/>
            <w:shd w:val="clear" w:color="auto" w:fill="auto"/>
          </w:tcPr>
          <w:p w14:paraId="38FF6AF3"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39B6B509" w14:textId="77777777" w:rsidR="008E08C4" w:rsidRPr="0029408A" w:rsidRDefault="004F3DBF"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Deferred tax liabilities</w:t>
            </w:r>
            <w:r w:rsidR="00123DF8" w:rsidRPr="0029408A">
              <w:rPr>
                <w:rFonts w:ascii="Times New Roman" w:eastAsia="Arial Unicode MS" w:hAnsi="Times New Roman"/>
                <w:color w:val="000000"/>
                <w:sz w:val="24"/>
                <w:szCs w:val="24"/>
                <w:lang w:val="en-GB"/>
              </w:rPr>
              <w:t xml:space="preserve"> based on future profitability, excluding those arising from temporary holdings (excluding tax liabilities) </w:t>
            </w:r>
            <w:r w:rsidR="00123DF8" w:rsidRPr="0029408A">
              <w:rPr>
                <w:rFonts w:ascii="Times New Roman" w:eastAsia="Arial Unicode MS" w:hAnsi="Times New Roman"/>
                <w:i/>
                <w:color w:val="000000"/>
                <w:sz w:val="24"/>
                <w:szCs w:val="24"/>
                <w:lang w:val="en-GB"/>
              </w:rPr>
              <w:t>(negative value)</w:t>
            </w:r>
          </w:p>
        </w:tc>
        <w:tc>
          <w:tcPr>
            <w:tcW w:w="1276" w:type="dxa"/>
            <w:shd w:val="clear" w:color="auto" w:fill="auto"/>
          </w:tcPr>
          <w:p w14:paraId="314BDC0F"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4645F15B" w14:textId="77777777" w:rsidR="008E08C4" w:rsidRPr="0029408A" w:rsidRDefault="00830773"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 xml:space="preserve">P.40 of Regulation 109/2018, </w:t>
            </w:r>
            <w:proofErr w:type="gramStart"/>
            <w:r w:rsidRPr="0029408A">
              <w:rPr>
                <w:rFonts w:ascii="Times New Roman" w:eastAsia="Arial Unicode MS" w:hAnsi="Times New Roman"/>
                <w:color w:val="000000"/>
                <w:sz w:val="24"/>
                <w:szCs w:val="24"/>
                <w:lang w:val="en-GB"/>
              </w:rPr>
              <w:t>taking into account</w:t>
            </w:r>
            <w:proofErr w:type="gramEnd"/>
            <w:r w:rsidRPr="0029408A">
              <w:rPr>
                <w:rFonts w:ascii="Times New Roman" w:eastAsia="Arial Unicode MS" w:hAnsi="Times New Roman"/>
                <w:color w:val="000000"/>
                <w:sz w:val="24"/>
                <w:szCs w:val="24"/>
                <w:lang w:val="en-GB"/>
              </w:rPr>
              <w:t xml:space="preserve"> p.30 subp.3) and p. 38-43 of Regulation 109/2018</w:t>
            </w:r>
          </w:p>
        </w:tc>
        <w:tc>
          <w:tcPr>
            <w:tcW w:w="6100" w:type="dxa"/>
            <w:shd w:val="clear" w:color="auto" w:fill="auto"/>
          </w:tcPr>
          <w:p w14:paraId="04491BF6" w14:textId="77777777" w:rsidR="008E08C4" w:rsidRPr="0029408A" w:rsidRDefault="00A72459"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It reflects the de</w:t>
            </w:r>
            <w:r w:rsidR="00784E8F" w:rsidRPr="0029408A">
              <w:rPr>
                <w:rFonts w:ascii="Times New Roman" w:hAnsi="Times New Roman"/>
                <w:color w:val="000000"/>
                <w:sz w:val="24"/>
                <w:szCs w:val="24"/>
                <w:lang w:val="en-GB"/>
              </w:rPr>
              <w:t>ferred tax liabilities</w:t>
            </w:r>
            <w:r w:rsidRPr="0029408A">
              <w:rPr>
                <w:rFonts w:ascii="Times New Roman" w:hAnsi="Times New Roman"/>
                <w:color w:val="000000"/>
                <w:sz w:val="24"/>
                <w:szCs w:val="24"/>
                <w:lang w:val="en-GB"/>
              </w:rPr>
              <w:t xml:space="preserve"> based on future profitability, excluding those resulting from temporary holdings (without tax obligations when the conditions from p.40 of Regulation 109/2018 are met) in accordance with p.30 subp.3) and p. 38-43 of Regulation 109/2018. </w:t>
            </w:r>
            <w:r w:rsidRPr="0029408A">
              <w:rPr>
                <w:rFonts w:ascii="Times New Roman" w:hAnsi="Times New Roman"/>
                <w:i/>
                <w:color w:val="000000"/>
                <w:sz w:val="24"/>
                <w:szCs w:val="24"/>
                <w:lang w:val="en-GB"/>
              </w:rPr>
              <w:t>(negative value</w:t>
            </w:r>
            <w:r w:rsidR="008E08C4" w:rsidRPr="0029408A">
              <w:rPr>
                <w:rFonts w:ascii="Times New Roman" w:hAnsi="Times New Roman"/>
                <w:i/>
                <w:color w:val="000000"/>
                <w:sz w:val="24"/>
                <w:szCs w:val="24"/>
                <w:lang w:val="en-GB"/>
              </w:rPr>
              <w:t>)</w:t>
            </w:r>
          </w:p>
        </w:tc>
      </w:tr>
      <w:tr w:rsidR="00074C65" w:rsidRPr="0029408A" w14:paraId="30BDD021" w14:textId="77777777" w:rsidTr="0029408A">
        <w:tc>
          <w:tcPr>
            <w:tcW w:w="704" w:type="dxa"/>
            <w:shd w:val="clear" w:color="auto" w:fill="auto"/>
          </w:tcPr>
          <w:p w14:paraId="505FD01C"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06BF9DF6" w14:textId="77777777" w:rsidR="008E08C4" w:rsidRPr="0029408A" w:rsidRDefault="006818A8"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Reserves resulting from fair value measurement, representing gains or losses generated by cash flow hedges</w:t>
            </w:r>
            <w:r w:rsidR="008E08C4" w:rsidRPr="0029408A">
              <w:rPr>
                <w:rFonts w:ascii="Times New Roman" w:eastAsia="Arial Unicode MS" w:hAnsi="Times New Roman"/>
                <w:color w:val="000000"/>
                <w:sz w:val="24"/>
                <w:szCs w:val="24"/>
                <w:lang w:val="en-GB"/>
              </w:rPr>
              <w:t xml:space="preserve"> </w:t>
            </w:r>
          </w:p>
        </w:tc>
        <w:tc>
          <w:tcPr>
            <w:tcW w:w="1276" w:type="dxa"/>
            <w:shd w:val="clear" w:color="auto" w:fill="auto"/>
          </w:tcPr>
          <w:p w14:paraId="001BAD67"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40D80363" w14:textId="77777777" w:rsidR="008E08C4" w:rsidRPr="0029408A" w:rsidRDefault="00A72459"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P.26 subp.1) of Regulation 109/2018</w:t>
            </w:r>
          </w:p>
        </w:tc>
        <w:tc>
          <w:tcPr>
            <w:tcW w:w="6100" w:type="dxa"/>
            <w:shd w:val="clear" w:color="auto" w:fill="auto"/>
          </w:tcPr>
          <w:p w14:paraId="3A06C4EF" w14:textId="77777777" w:rsidR="008E08C4" w:rsidRPr="0029408A" w:rsidRDefault="00A72459"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It reflects the reserves resulting from the valuation at fair value, representing gains or losses generated by the hedges of cash flows in accordance with p.26 subp.1) of Regulation 109/2018.</w:t>
            </w:r>
          </w:p>
        </w:tc>
      </w:tr>
      <w:tr w:rsidR="00074C65" w:rsidRPr="0029408A" w14:paraId="24F9B3A4" w14:textId="77777777" w:rsidTr="0029408A">
        <w:tc>
          <w:tcPr>
            <w:tcW w:w="704" w:type="dxa"/>
            <w:shd w:val="clear" w:color="auto" w:fill="auto"/>
          </w:tcPr>
          <w:p w14:paraId="7CE64A84"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29C5A390" w14:textId="77777777" w:rsidR="008E08C4" w:rsidRPr="0029408A" w:rsidRDefault="006818A8"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Negative amounts resulting from the calculation of expected loss values</w:t>
            </w:r>
          </w:p>
        </w:tc>
        <w:tc>
          <w:tcPr>
            <w:tcW w:w="1276" w:type="dxa"/>
            <w:shd w:val="clear" w:color="auto" w:fill="auto"/>
          </w:tcPr>
          <w:p w14:paraId="1E209DA9" w14:textId="77777777" w:rsidR="008E08C4" w:rsidRPr="0029408A" w:rsidRDefault="008E08C4" w:rsidP="0029408A">
            <w:pPr>
              <w:jc w:val="center"/>
              <w:rPr>
                <w:rFonts w:ascii="Times New Roman" w:hAnsi="Times New Roman"/>
                <w:color w:val="000000"/>
                <w:sz w:val="24"/>
                <w:szCs w:val="24"/>
                <w:lang w:val="en-GB"/>
              </w:rPr>
            </w:pPr>
            <w:r w:rsidRPr="0029408A">
              <w:rPr>
                <w:rFonts w:ascii="Times New Roman" w:hAnsi="Times New Roman"/>
                <w:color w:val="000000"/>
                <w:sz w:val="24"/>
                <w:szCs w:val="24"/>
                <w:lang w:val="en-GB"/>
              </w:rPr>
              <w:t>X</w:t>
            </w:r>
          </w:p>
          <w:p w14:paraId="644D27C5" w14:textId="77777777" w:rsidR="008E08C4" w:rsidRPr="0029408A" w:rsidRDefault="008E08C4" w:rsidP="0029408A">
            <w:pPr>
              <w:jc w:val="center"/>
              <w:rPr>
                <w:rFonts w:ascii="Times New Roman" w:hAnsi="Times New Roman"/>
                <w:color w:val="000000"/>
                <w:sz w:val="24"/>
                <w:szCs w:val="24"/>
                <w:lang w:val="en-GB"/>
              </w:rPr>
            </w:pPr>
          </w:p>
        </w:tc>
        <w:tc>
          <w:tcPr>
            <w:tcW w:w="2694" w:type="dxa"/>
            <w:shd w:val="clear" w:color="auto" w:fill="auto"/>
          </w:tcPr>
          <w:p w14:paraId="7EFBA66D" w14:textId="77777777" w:rsidR="008E08C4" w:rsidRPr="0029408A" w:rsidRDefault="008E08C4" w:rsidP="0029408A">
            <w:pPr>
              <w:jc w:val="center"/>
              <w:rPr>
                <w:rFonts w:ascii="Times New Roman" w:hAnsi="Times New Roman"/>
                <w:color w:val="000000"/>
                <w:sz w:val="24"/>
                <w:szCs w:val="24"/>
                <w:lang w:val="en-GB"/>
              </w:rPr>
            </w:pPr>
          </w:p>
        </w:tc>
        <w:tc>
          <w:tcPr>
            <w:tcW w:w="6100" w:type="dxa"/>
            <w:shd w:val="clear" w:color="auto" w:fill="auto"/>
          </w:tcPr>
          <w:p w14:paraId="172C9917" w14:textId="77777777" w:rsidR="008E08C4" w:rsidRPr="0029408A" w:rsidRDefault="008E08C4" w:rsidP="008E08C4">
            <w:pPr>
              <w:rPr>
                <w:rFonts w:ascii="Times New Roman" w:hAnsi="Times New Roman"/>
                <w:i/>
                <w:color w:val="000000"/>
                <w:sz w:val="24"/>
                <w:szCs w:val="24"/>
                <w:lang w:val="en-GB"/>
              </w:rPr>
            </w:pPr>
          </w:p>
        </w:tc>
      </w:tr>
      <w:tr w:rsidR="00074C65" w:rsidRPr="0029408A" w14:paraId="54B36342" w14:textId="77777777" w:rsidTr="0029408A">
        <w:tc>
          <w:tcPr>
            <w:tcW w:w="704" w:type="dxa"/>
            <w:shd w:val="clear" w:color="auto" w:fill="auto"/>
          </w:tcPr>
          <w:p w14:paraId="1A6D5B78"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705AC99B" w14:textId="77777777" w:rsidR="008E08C4" w:rsidRPr="0029408A" w:rsidRDefault="006818A8"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Any increase in equity resulting from securitized assets </w:t>
            </w:r>
            <w:r w:rsidRPr="0029408A">
              <w:rPr>
                <w:rFonts w:ascii="Times New Roman" w:hAnsi="Times New Roman"/>
                <w:i/>
                <w:color w:val="000000"/>
                <w:sz w:val="24"/>
                <w:szCs w:val="24"/>
                <w:lang w:val="en-GB"/>
              </w:rPr>
              <w:t>(negative value)</w:t>
            </w:r>
          </w:p>
        </w:tc>
        <w:tc>
          <w:tcPr>
            <w:tcW w:w="1276" w:type="dxa"/>
            <w:shd w:val="clear" w:color="auto" w:fill="auto"/>
          </w:tcPr>
          <w:p w14:paraId="65F5364B" w14:textId="77777777" w:rsidR="008E08C4" w:rsidRPr="0029408A" w:rsidRDefault="008E08C4" w:rsidP="0029408A">
            <w:pPr>
              <w:jc w:val="center"/>
              <w:rPr>
                <w:rFonts w:ascii="Times New Roman" w:hAnsi="Times New Roman"/>
                <w:color w:val="000000"/>
                <w:sz w:val="24"/>
                <w:szCs w:val="24"/>
                <w:lang w:val="en-GB"/>
              </w:rPr>
            </w:pPr>
            <w:r w:rsidRPr="0029408A">
              <w:rPr>
                <w:rFonts w:ascii="Times New Roman" w:hAnsi="Times New Roman"/>
                <w:color w:val="000000"/>
                <w:sz w:val="24"/>
                <w:szCs w:val="24"/>
                <w:lang w:val="en-GB"/>
              </w:rPr>
              <w:t>X</w:t>
            </w:r>
          </w:p>
          <w:p w14:paraId="0B30C62C" w14:textId="77777777" w:rsidR="008E08C4" w:rsidRPr="0029408A" w:rsidRDefault="008E08C4" w:rsidP="0029408A">
            <w:pPr>
              <w:jc w:val="center"/>
              <w:rPr>
                <w:rFonts w:ascii="Times New Roman" w:hAnsi="Times New Roman"/>
                <w:color w:val="000000"/>
                <w:sz w:val="24"/>
                <w:szCs w:val="24"/>
                <w:lang w:val="en-GB"/>
              </w:rPr>
            </w:pPr>
          </w:p>
        </w:tc>
        <w:tc>
          <w:tcPr>
            <w:tcW w:w="2694" w:type="dxa"/>
            <w:shd w:val="clear" w:color="auto" w:fill="auto"/>
          </w:tcPr>
          <w:p w14:paraId="692F412D" w14:textId="77777777" w:rsidR="008E08C4" w:rsidRPr="0029408A" w:rsidRDefault="008E08C4" w:rsidP="0029408A">
            <w:pPr>
              <w:jc w:val="center"/>
              <w:rPr>
                <w:rFonts w:ascii="Times New Roman" w:hAnsi="Times New Roman"/>
                <w:color w:val="000000"/>
                <w:sz w:val="24"/>
                <w:szCs w:val="24"/>
                <w:lang w:val="en-GB"/>
              </w:rPr>
            </w:pPr>
          </w:p>
        </w:tc>
        <w:tc>
          <w:tcPr>
            <w:tcW w:w="6100" w:type="dxa"/>
            <w:shd w:val="clear" w:color="auto" w:fill="auto"/>
          </w:tcPr>
          <w:p w14:paraId="54E44838" w14:textId="77777777" w:rsidR="008E08C4" w:rsidRPr="0029408A" w:rsidRDefault="008E08C4" w:rsidP="008E08C4">
            <w:pPr>
              <w:rPr>
                <w:rFonts w:ascii="Times New Roman" w:hAnsi="Times New Roman"/>
                <w:color w:val="000000"/>
                <w:sz w:val="24"/>
                <w:szCs w:val="24"/>
                <w:lang w:val="en-GB"/>
              </w:rPr>
            </w:pPr>
          </w:p>
        </w:tc>
      </w:tr>
      <w:tr w:rsidR="00074C65" w:rsidRPr="0029408A" w14:paraId="1DD86B11" w14:textId="77777777" w:rsidTr="0029408A">
        <w:tc>
          <w:tcPr>
            <w:tcW w:w="704" w:type="dxa"/>
            <w:shd w:val="clear" w:color="auto" w:fill="auto"/>
          </w:tcPr>
          <w:p w14:paraId="00F3CFCB"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2477590B" w14:textId="77777777" w:rsidR="008E08C4" w:rsidRPr="0029408A" w:rsidRDefault="006818A8"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Gains or losses on the fair value of debt and resulting from a change in the bank's credit risk</w:t>
            </w:r>
          </w:p>
        </w:tc>
        <w:tc>
          <w:tcPr>
            <w:tcW w:w="1276" w:type="dxa"/>
            <w:shd w:val="clear" w:color="auto" w:fill="auto"/>
          </w:tcPr>
          <w:p w14:paraId="119FBA9D"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37C6E02E" w14:textId="77777777" w:rsidR="008E08C4" w:rsidRPr="0029408A" w:rsidRDefault="00722AC2"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P.26 subp.2) of Regulation 109/2018</w:t>
            </w:r>
          </w:p>
        </w:tc>
        <w:tc>
          <w:tcPr>
            <w:tcW w:w="6100" w:type="dxa"/>
            <w:shd w:val="clear" w:color="auto" w:fill="auto"/>
          </w:tcPr>
          <w:p w14:paraId="63931D50" w14:textId="77777777" w:rsidR="008E08C4" w:rsidRPr="0029408A" w:rsidRDefault="00722AC2"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It reflects the gains or losses recorded by the bank from the valuation at fair value of debts and resulting from the modification of its credit risk in accordance with p.26 subp.2) of Regulation 109/2018.</w:t>
            </w:r>
          </w:p>
        </w:tc>
      </w:tr>
      <w:tr w:rsidR="00074C65" w:rsidRPr="0029408A" w14:paraId="442288F1" w14:textId="77777777" w:rsidTr="0029408A">
        <w:tc>
          <w:tcPr>
            <w:tcW w:w="704" w:type="dxa"/>
            <w:shd w:val="clear" w:color="auto" w:fill="auto"/>
          </w:tcPr>
          <w:p w14:paraId="12903F53"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42DA05F4" w14:textId="77777777" w:rsidR="008E08C4" w:rsidRPr="0029408A" w:rsidRDefault="006818A8"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 xml:space="preserve">Assets of the defined benefit pension fund </w:t>
            </w:r>
            <w:r w:rsidRPr="0029408A">
              <w:rPr>
                <w:rFonts w:ascii="Times New Roman" w:eastAsia="Arial Unicode MS" w:hAnsi="Times New Roman"/>
                <w:i/>
                <w:color w:val="000000"/>
                <w:sz w:val="24"/>
                <w:szCs w:val="24"/>
                <w:lang w:val="en-GB"/>
              </w:rPr>
              <w:t>(negative value)</w:t>
            </w:r>
          </w:p>
        </w:tc>
        <w:tc>
          <w:tcPr>
            <w:tcW w:w="1276" w:type="dxa"/>
            <w:shd w:val="clear" w:color="auto" w:fill="auto"/>
          </w:tcPr>
          <w:p w14:paraId="41234153"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008DE546" w14:textId="77777777" w:rsidR="008E08C4" w:rsidRPr="0029408A" w:rsidRDefault="00722AC2"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P.30 subp.4) and p.47-50 of Regulation 109/2018</w:t>
            </w:r>
          </w:p>
        </w:tc>
        <w:tc>
          <w:tcPr>
            <w:tcW w:w="6100" w:type="dxa"/>
            <w:shd w:val="clear" w:color="auto" w:fill="auto"/>
          </w:tcPr>
          <w:p w14:paraId="5EA152EB" w14:textId="77777777" w:rsidR="00722AC2" w:rsidRPr="0029408A" w:rsidRDefault="00722AC2" w:rsidP="0029408A">
            <w:pPr>
              <w:spacing w:after="0" w:line="240" w:lineRule="auto"/>
              <w:rPr>
                <w:rFonts w:ascii="Times New Roman" w:hAnsi="Times New Roman"/>
                <w:color w:val="000000"/>
                <w:sz w:val="24"/>
                <w:szCs w:val="24"/>
                <w:lang w:val="en-GB"/>
              </w:rPr>
            </w:pPr>
            <w:r w:rsidRPr="0029408A">
              <w:rPr>
                <w:rFonts w:ascii="Times New Roman" w:hAnsi="Times New Roman"/>
                <w:color w:val="000000"/>
                <w:sz w:val="24"/>
                <w:szCs w:val="24"/>
                <w:lang w:val="en-GB"/>
              </w:rPr>
              <w:t>It reflects the assets of the pension fund with determined benefits in accordance with the requirements of p.30 subp.4) and p.47-50 of Regulation 109/2018.</w:t>
            </w:r>
          </w:p>
          <w:p w14:paraId="6DF6ECD1" w14:textId="77777777" w:rsidR="00722AC2" w:rsidRPr="0029408A" w:rsidRDefault="00722AC2" w:rsidP="0029408A">
            <w:pPr>
              <w:spacing w:after="0" w:line="240" w:lineRule="auto"/>
              <w:rPr>
                <w:rFonts w:ascii="Times New Roman" w:hAnsi="Times New Roman"/>
                <w:color w:val="000000"/>
                <w:sz w:val="24"/>
                <w:szCs w:val="24"/>
                <w:lang w:val="en-GB"/>
              </w:rPr>
            </w:pPr>
          </w:p>
          <w:p w14:paraId="34E8055D" w14:textId="77777777" w:rsidR="008E08C4" w:rsidRPr="0029408A" w:rsidRDefault="00722AC2" w:rsidP="00722AC2">
            <w:pPr>
              <w:rPr>
                <w:rFonts w:ascii="Times New Roman" w:hAnsi="Times New Roman"/>
                <w:i/>
                <w:color w:val="000000"/>
                <w:sz w:val="24"/>
                <w:szCs w:val="24"/>
                <w:lang w:val="en-GB"/>
              </w:rPr>
            </w:pPr>
            <w:r w:rsidRPr="0029408A">
              <w:rPr>
                <w:rFonts w:ascii="Times New Roman" w:hAnsi="Times New Roman"/>
                <w:i/>
                <w:color w:val="000000"/>
                <w:sz w:val="24"/>
                <w:szCs w:val="24"/>
                <w:lang w:val="en-GB"/>
              </w:rPr>
              <w:t>(negative value)</w:t>
            </w:r>
          </w:p>
        </w:tc>
      </w:tr>
      <w:tr w:rsidR="00074C65" w:rsidRPr="0029408A" w14:paraId="6EA76DAA" w14:textId="77777777" w:rsidTr="0029408A">
        <w:tc>
          <w:tcPr>
            <w:tcW w:w="704" w:type="dxa"/>
            <w:shd w:val="clear" w:color="auto" w:fill="auto"/>
          </w:tcPr>
          <w:p w14:paraId="7BEC5C50"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359E764E" w14:textId="77777777" w:rsidR="008E08C4" w:rsidRPr="0029408A" w:rsidRDefault="00DB3E4B"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 xml:space="preserve">Direct and indirect holdings of banks' Common Equity Tier 1 capital instruments </w:t>
            </w:r>
            <w:r w:rsidRPr="0029408A">
              <w:rPr>
                <w:rFonts w:ascii="Times New Roman" w:eastAsia="Arial Unicode MS" w:hAnsi="Times New Roman"/>
                <w:i/>
                <w:color w:val="000000"/>
                <w:sz w:val="24"/>
                <w:szCs w:val="24"/>
                <w:lang w:val="en-GB"/>
              </w:rPr>
              <w:t>(negative value)</w:t>
            </w:r>
          </w:p>
        </w:tc>
        <w:tc>
          <w:tcPr>
            <w:tcW w:w="1276" w:type="dxa"/>
            <w:shd w:val="clear" w:color="auto" w:fill="auto"/>
          </w:tcPr>
          <w:p w14:paraId="1B2D50F3"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3487401D" w14:textId="77777777" w:rsidR="008E08C4" w:rsidRPr="0029408A" w:rsidRDefault="00722AC2"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P.30 subp.5) and p.51 of Regulation 109/2018</w:t>
            </w:r>
          </w:p>
        </w:tc>
        <w:tc>
          <w:tcPr>
            <w:tcW w:w="6100" w:type="dxa"/>
            <w:shd w:val="clear" w:color="auto" w:fill="auto"/>
          </w:tcPr>
          <w:p w14:paraId="43B3571A" w14:textId="77777777" w:rsidR="000D6B75" w:rsidRPr="0029408A" w:rsidRDefault="000D6B75" w:rsidP="0029408A">
            <w:pPr>
              <w:spacing w:after="0" w:line="240" w:lineRule="auto"/>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direct and indirect holdings </w:t>
            </w:r>
            <w:r w:rsidR="000D0FC1" w:rsidRPr="0029408A">
              <w:rPr>
                <w:rFonts w:ascii="Times New Roman" w:eastAsia="Arial Unicode MS" w:hAnsi="Times New Roman"/>
                <w:color w:val="000000"/>
                <w:sz w:val="24"/>
                <w:szCs w:val="24"/>
                <w:lang w:val="en-GB"/>
              </w:rPr>
              <w:t>of banks' Common Equity Tier 1 capital instruments</w:t>
            </w:r>
            <w:r w:rsidR="000D0FC1" w:rsidRPr="0029408A">
              <w:rPr>
                <w:rFonts w:ascii="Times New Roman" w:hAnsi="Times New Roman"/>
                <w:color w:val="000000"/>
                <w:sz w:val="24"/>
                <w:szCs w:val="24"/>
                <w:lang w:val="en-GB"/>
              </w:rPr>
              <w:t xml:space="preserve"> </w:t>
            </w:r>
            <w:r w:rsidRPr="0029408A">
              <w:rPr>
                <w:rFonts w:ascii="Times New Roman" w:hAnsi="Times New Roman"/>
                <w:color w:val="000000"/>
                <w:sz w:val="24"/>
                <w:szCs w:val="24"/>
                <w:lang w:val="en-GB"/>
              </w:rPr>
              <w:t>as provided in p.30 subp.5) and p.51 of Regulation 109/2018.</w:t>
            </w:r>
          </w:p>
          <w:p w14:paraId="52214D9F" w14:textId="77777777" w:rsidR="000D6B75" w:rsidRPr="0029408A" w:rsidRDefault="000D6B75" w:rsidP="0029408A">
            <w:pPr>
              <w:spacing w:after="0" w:line="240" w:lineRule="auto"/>
              <w:rPr>
                <w:rFonts w:ascii="Times New Roman" w:hAnsi="Times New Roman"/>
                <w:color w:val="000000"/>
                <w:sz w:val="24"/>
                <w:szCs w:val="24"/>
                <w:lang w:val="en-GB"/>
              </w:rPr>
            </w:pPr>
          </w:p>
          <w:p w14:paraId="62ABAA0C" w14:textId="77777777" w:rsidR="008E08C4" w:rsidRPr="0029408A" w:rsidRDefault="000D6B75" w:rsidP="000D6B75">
            <w:pPr>
              <w:rPr>
                <w:rFonts w:ascii="Times New Roman" w:hAnsi="Times New Roman"/>
                <w:i/>
                <w:color w:val="000000"/>
                <w:sz w:val="24"/>
                <w:szCs w:val="24"/>
                <w:lang w:val="en-GB"/>
              </w:rPr>
            </w:pPr>
            <w:r w:rsidRPr="0029408A">
              <w:rPr>
                <w:rFonts w:ascii="Times New Roman" w:hAnsi="Times New Roman"/>
                <w:i/>
                <w:color w:val="000000"/>
                <w:sz w:val="24"/>
                <w:szCs w:val="24"/>
                <w:lang w:val="en-GB"/>
              </w:rPr>
              <w:t>(negative value)</w:t>
            </w:r>
          </w:p>
        </w:tc>
      </w:tr>
      <w:tr w:rsidR="00074C65" w:rsidRPr="0029408A" w14:paraId="416FFB86" w14:textId="77777777" w:rsidTr="0029408A">
        <w:tc>
          <w:tcPr>
            <w:tcW w:w="704" w:type="dxa"/>
            <w:shd w:val="clear" w:color="auto" w:fill="auto"/>
          </w:tcPr>
          <w:p w14:paraId="282714C3"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7E543602" w14:textId="77777777" w:rsidR="008E08C4" w:rsidRPr="0029408A" w:rsidRDefault="00BD6A4A"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Direct, indirect and synthetic holdings of Common Equity Tier 1 capital instruments / equity of financial sector entities, if these entities a</w:t>
            </w:r>
            <w:r w:rsidR="002C44AF" w:rsidRPr="0029408A">
              <w:rPr>
                <w:rFonts w:ascii="Times New Roman" w:eastAsia="Arial Unicode MS" w:hAnsi="Times New Roman"/>
                <w:color w:val="000000"/>
                <w:sz w:val="24"/>
                <w:szCs w:val="24"/>
                <w:lang w:val="en-GB"/>
              </w:rPr>
              <w:t>nd the bank hold mutual participations</w:t>
            </w:r>
            <w:r w:rsidRPr="0029408A">
              <w:rPr>
                <w:rFonts w:ascii="Times New Roman" w:eastAsia="Arial Unicode MS" w:hAnsi="Times New Roman"/>
                <w:color w:val="000000"/>
                <w:sz w:val="24"/>
                <w:szCs w:val="24"/>
                <w:lang w:val="en-GB"/>
              </w:rPr>
              <w:t xml:space="preserve"> intended to artificially increase the bank's own funds </w:t>
            </w:r>
            <w:r w:rsidRPr="0029408A">
              <w:rPr>
                <w:rFonts w:ascii="Times New Roman" w:eastAsia="Arial Unicode MS" w:hAnsi="Times New Roman"/>
                <w:i/>
                <w:color w:val="000000"/>
                <w:sz w:val="24"/>
                <w:szCs w:val="24"/>
                <w:lang w:val="en-GB"/>
              </w:rPr>
              <w:t>(negative value)</w:t>
            </w:r>
          </w:p>
        </w:tc>
        <w:tc>
          <w:tcPr>
            <w:tcW w:w="1276" w:type="dxa"/>
            <w:shd w:val="clear" w:color="auto" w:fill="auto"/>
          </w:tcPr>
          <w:p w14:paraId="7FA8DB44"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0BF0B951" w14:textId="77777777" w:rsidR="008E08C4" w:rsidRPr="0029408A" w:rsidRDefault="00722AC2"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P.30 subp.6) and p.54 and 55 of Regulation 109/2018</w:t>
            </w:r>
          </w:p>
        </w:tc>
        <w:tc>
          <w:tcPr>
            <w:tcW w:w="6100" w:type="dxa"/>
            <w:shd w:val="clear" w:color="auto" w:fill="auto"/>
          </w:tcPr>
          <w:p w14:paraId="2D020469" w14:textId="77777777" w:rsidR="008E08C4" w:rsidRPr="0029408A" w:rsidRDefault="002C44AF"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direct, indirect and synthetic holdings of </w:t>
            </w:r>
            <w:r w:rsidRPr="0029408A">
              <w:rPr>
                <w:rFonts w:ascii="Times New Roman" w:eastAsia="Arial Unicode MS" w:hAnsi="Times New Roman"/>
                <w:color w:val="000000"/>
                <w:sz w:val="24"/>
                <w:szCs w:val="24"/>
                <w:lang w:val="en-GB"/>
              </w:rPr>
              <w:t>Common Equity Tier 1 capital instruments / equity of financial sector entities</w:t>
            </w:r>
            <w:r w:rsidRPr="0029408A">
              <w:rPr>
                <w:rFonts w:ascii="Times New Roman" w:hAnsi="Times New Roman"/>
                <w:color w:val="000000"/>
                <w:sz w:val="24"/>
                <w:szCs w:val="24"/>
                <w:lang w:val="en-GB"/>
              </w:rPr>
              <w:t>, if these entities and the bank hold</w:t>
            </w:r>
            <w:r w:rsidR="00784E8F" w:rsidRPr="0029408A">
              <w:rPr>
                <w:rFonts w:ascii="Times New Roman" w:hAnsi="Times New Roman"/>
                <w:color w:val="000000"/>
                <w:sz w:val="24"/>
                <w:szCs w:val="24"/>
                <w:lang w:val="en-GB"/>
              </w:rPr>
              <w:t xml:space="preserve"> mutual participations intended</w:t>
            </w:r>
            <w:r w:rsidRPr="0029408A">
              <w:rPr>
                <w:rFonts w:ascii="Times New Roman" w:hAnsi="Times New Roman"/>
                <w:color w:val="000000"/>
                <w:sz w:val="24"/>
                <w:szCs w:val="24"/>
                <w:lang w:val="en-GB"/>
              </w:rPr>
              <w:t xml:space="preserve"> to artificially increase the bank's own funds, as provided in p.30 subp.6) and p.54 and 55 of Regulation 109/2018.</w:t>
            </w:r>
            <w:r w:rsidRPr="0029408A">
              <w:rPr>
                <w:rFonts w:ascii="Times New Roman" w:hAnsi="Times New Roman"/>
                <w:i/>
                <w:color w:val="000000"/>
                <w:sz w:val="24"/>
                <w:szCs w:val="24"/>
                <w:lang w:val="en-GB"/>
              </w:rPr>
              <w:t xml:space="preserve"> (negative value)</w:t>
            </w:r>
          </w:p>
        </w:tc>
      </w:tr>
      <w:tr w:rsidR="00074C65" w:rsidRPr="0029408A" w14:paraId="66A849C4" w14:textId="77777777" w:rsidTr="0029408A">
        <w:tc>
          <w:tcPr>
            <w:tcW w:w="704" w:type="dxa"/>
            <w:shd w:val="clear" w:color="auto" w:fill="auto"/>
          </w:tcPr>
          <w:p w14:paraId="0011132F"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2A199AD6" w14:textId="77777777" w:rsidR="008E08C4" w:rsidRPr="0029408A" w:rsidRDefault="00784E8F"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 xml:space="preserve">Direct, indirect and synthetic holdings of the bank of Common Equity Tier 1 capital instruments / equity of financial sector entities in which the bank does not hold a significant investment (significant investment - value above the 10% threshold and excluding eligible short positions) </w:t>
            </w:r>
            <w:r w:rsidRPr="0029408A">
              <w:rPr>
                <w:rFonts w:ascii="Times New Roman" w:eastAsia="Arial Unicode MS" w:hAnsi="Times New Roman"/>
                <w:i/>
                <w:color w:val="000000"/>
                <w:sz w:val="24"/>
                <w:szCs w:val="24"/>
                <w:lang w:val="en-GB"/>
              </w:rPr>
              <w:t>(negative value)</w:t>
            </w:r>
          </w:p>
        </w:tc>
        <w:tc>
          <w:tcPr>
            <w:tcW w:w="1276" w:type="dxa"/>
            <w:shd w:val="clear" w:color="auto" w:fill="auto"/>
          </w:tcPr>
          <w:p w14:paraId="3355D664"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7F0E88D9" w14:textId="77777777" w:rsidR="008E08C4" w:rsidRPr="0029408A" w:rsidRDefault="00722AC2"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P.30 subp.7) and p.52, 53, 55 and p.56-61 of Regulation 109/2018</w:t>
            </w:r>
          </w:p>
        </w:tc>
        <w:tc>
          <w:tcPr>
            <w:tcW w:w="6100" w:type="dxa"/>
            <w:shd w:val="clear" w:color="auto" w:fill="auto"/>
          </w:tcPr>
          <w:p w14:paraId="6BA4FAD2" w14:textId="77777777" w:rsidR="008E08C4" w:rsidRPr="0029408A" w:rsidRDefault="003B4E78"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direct, indirect and synthetic holdings of the bank of </w:t>
            </w:r>
            <w:r w:rsidRPr="0029408A">
              <w:rPr>
                <w:rFonts w:ascii="Times New Roman" w:eastAsia="Arial Unicode MS" w:hAnsi="Times New Roman"/>
                <w:color w:val="000000"/>
                <w:sz w:val="24"/>
                <w:szCs w:val="24"/>
                <w:lang w:val="en-GB"/>
              </w:rPr>
              <w:t>Common Equity Tier 1 capital instruments / equity of financial sector entities</w:t>
            </w:r>
            <w:r w:rsidRPr="0029408A">
              <w:rPr>
                <w:rFonts w:ascii="Times New Roman" w:hAnsi="Times New Roman"/>
                <w:color w:val="000000"/>
                <w:sz w:val="24"/>
                <w:szCs w:val="24"/>
                <w:lang w:val="en-GB"/>
              </w:rPr>
              <w:t xml:space="preserve"> in which the bank does not hold a significant investment (significant investment - value above the 10% threshold and excluding eligible short positions) as provided in p.30 subp.7) and p.52, 53, 55 and p.56-61 of Regulation 109/2018.</w:t>
            </w:r>
            <w:r w:rsidR="008E08C4" w:rsidRPr="0029408A">
              <w:rPr>
                <w:rFonts w:ascii="Times New Roman" w:hAnsi="Times New Roman"/>
                <w:color w:val="000000"/>
                <w:sz w:val="24"/>
                <w:szCs w:val="24"/>
                <w:lang w:val="en-GB"/>
              </w:rPr>
              <w:t xml:space="preserve"> </w:t>
            </w:r>
          </w:p>
          <w:p w14:paraId="33372C39" w14:textId="77777777" w:rsidR="008E08C4" w:rsidRPr="0029408A" w:rsidRDefault="00784E8F" w:rsidP="008E08C4">
            <w:pPr>
              <w:rPr>
                <w:rFonts w:ascii="Times New Roman" w:hAnsi="Times New Roman"/>
                <w:color w:val="000000"/>
                <w:sz w:val="24"/>
                <w:szCs w:val="24"/>
                <w:lang w:val="en-GB"/>
              </w:rPr>
            </w:pPr>
            <w:r w:rsidRPr="0029408A">
              <w:rPr>
                <w:rFonts w:ascii="Times New Roman" w:eastAsia="Arial Unicode MS" w:hAnsi="Times New Roman"/>
                <w:i/>
                <w:color w:val="000000"/>
                <w:sz w:val="24"/>
                <w:szCs w:val="24"/>
                <w:lang w:val="en-GB"/>
              </w:rPr>
              <w:t>(negative value)</w:t>
            </w:r>
          </w:p>
        </w:tc>
      </w:tr>
      <w:tr w:rsidR="00074C65" w:rsidRPr="0029408A" w14:paraId="4AEDF444" w14:textId="77777777" w:rsidTr="0029408A">
        <w:tc>
          <w:tcPr>
            <w:tcW w:w="704" w:type="dxa"/>
            <w:shd w:val="clear" w:color="auto" w:fill="auto"/>
          </w:tcPr>
          <w:p w14:paraId="6122D3D8"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1025F80A" w14:textId="77777777" w:rsidR="008E08C4" w:rsidRPr="0029408A" w:rsidRDefault="003211BB"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 xml:space="preserve">Direct, indirect and synthetic holdings of the bank of Common Equity Tier 1 capital instruments / equity of financial sector entities in which the bank holds a significant investment (value above the 10% threshold and excluding eligible short positions) </w:t>
            </w:r>
            <w:r w:rsidRPr="0029408A">
              <w:rPr>
                <w:rFonts w:ascii="Times New Roman" w:eastAsia="Arial Unicode MS" w:hAnsi="Times New Roman"/>
                <w:i/>
                <w:color w:val="000000"/>
                <w:sz w:val="24"/>
                <w:szCs w:val="24"/>
                <w:lang w:val="en-GB"/>
              </w:rPr>
              <w:t>(negative value)</w:t>
            </w:r>
          </w:p>
        </w:tc>
        <w:tc>
          <w:tcPr>
            <w:tcW w:w="1276" w:type="dxa"/>
            <w:shd w:val="clear" w:color="auto" w:fill="auto"/>
          </w:tcPr>
          <w:p w14:paraId="1BA940B2"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4723B4D2" w14:textId="77777777" w:rsidR="008E08C4" w:rsidRPr="0029408A" w:rsidRDefault="00722AC2"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P.30 subp.8) and p.52, 53, 55 and p.62-67 of Regulation 109/2018</w:t>
            </w:r>
          </w:p>
        </w:tc>
        <w:tc>
          <w:tcPr>
            <w:tcW w:w="6100" w:type="dxa"/>
            <w:shd w:val="clear" w:color="auto" w:fill="auto"/>
          </w:tcPr>
          <w:p w14:paraId="3FDCB30E" w14:textId="77777777" w:rsidR="008E08C4" w:rsidRPr="0029408A" w:rsidRDefault="003211BB"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direct, indirect and synthetic holdings of the bank of </w:t>
            </w:r>
            <w:r w:rsidR="007C0AF0" w:rsidRPr="0029408A">
              <w:rPr>
                <w:rFonts w:ascii="Times New Roman" w:eastAsia="Arial Unicode MS" w:hAnsi="Times New Roman"/>
                <w:color w:val="000000"/>
                <w:sz w:val="24"/>
                <w:szCs w:val="24"/>
                <w:lang w:val="en-GB"/>
              </w:rPr>
              <w:t>Common Equity Tier 1 capital instruments / equity of financial sector entities</w:t>
            </w:r>
            <w:r w:rsidRPr="0029408A">
              <w:rPr>
                <w:rFonts w:ascii="Times New Roman" w:hAnsi="Times New Roman"/>
                <w:color w:val="000000"/>
                <w:sz w:val="24"/>
                <w:szCs w:val="24"/>
                <w:lang w:val="en-GB"/>
              </w:rPr>
              <w:t xml:space="preserve"> in which the bank holds a significant investment (significant investment - value above the 10% threshold and excluding eligible short </w:t>
            </w:r>
            <w:proofErr w:type="gramStart"/>
            <w:r w:rsidRPr="0029408A">
              <w:rPr>
                <w:rFonts w:ascii="Times New Roman" w:hAnsi="Times New Roman"/>
                <w:color w:val="000000"/>
                <w:sz w:val="24"/>
                <w:szCs w:val="24"/>
                <w:lang w:val="en-GB"/>
              </w:rPr>
              <w:t>positions )</w:t>
            </w:r>
            <w:proofErr w:type="gramEnd"/>
            <w:r w:rsidRPr="0029408A">
              <w:rPr>
                <w:rFonts w:ascii="Times New Roman" w:hAnsi="Times New Roman"/>
                <w:color w:val="000000"/>
                <w:sz w:val="24"/>
                <w:szCs w:val="24"/>
                <w:lang w:val="en-GB"/>
              </w:rPr>
              <w:t xml:space="preserve"> as provided in p.30 subp.8) and p.52, 53, 55 and p.62-67 of Regulation 109/2018.</w:t>
            </w:r>
          </w:p>
          <w:p w14:paraId="10CE06F7" w14:textId="77777777" w:rsidR="008E08C4" w:rsidRPr="0029408A" w:rsidRDefault="00784E8F" w:rsidP="008E08C4">
            <w:pPr>
              <w:rPr>
                <w:rFonts w:ascii="Times New Roman" w:hAnsi="Times New Roman"/>
                <w:color w:val="000000"/>
                <w:sz w:val="24"/>
                <w:szCs w:val="24"/>
                <w:lang w:val="en-GB"/>
              </w:rPr>
            </w:pPr>
            <w:r w:rsidRPr="0029408A">
              <w:rPr>
                <w:rFonts w:ascii="Times New Roman" w:eastAsia="Arial Unicode MS" w:hAnsi="Times New Roman"/>
                <w:i/>
                <w:color w:val="000000"/>
                <w:sz w:val="24"/>
                <w:szCs w:val="24"/>
                <w:lang w:val="en-GB"/>
              </w:rPr>
              <w:t>(negative value)</w:t>
            </w:r>
          </w:p>
        </w:tc>
      </w:tr>
      <w:tr w:rsidR="00074C65" w:rsidRPr="0029408A" w14:paraId="2963C35C" w14:textId="77777777" w:rsidTr="0029408A">
        <w:trPr>
          <w:trHeight w:val="1815"/>
        </w:trPr>
        <w:tc>
          <w:tcPr>
            <w:tcW w:w="704" w:type="dxa"/>
            <w:shd w:val="clear" w:color="auto" w:fill="auto"/>
          </w:tcPr>
          <w:p w14:paraId="25C0B9EF"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6DA9C882" w14:textId="77777777" w:rsidR="008E08C4" w:rsidRPr="0029408A" w:rsidRDefault="003211BB" w:rsidP="0029408A">
            <w:pPr>
              <w:tabs>
                <w:tab w:val="left" w:pos="1134"/>
              </w:tabs>
              <w:spacing w:after="0" w:line="240" w:lineRule="auto"/>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The value of the exposure related to the following elements, which qualifies for a risk weight of 1000%, when the bank opts for the deduction alternative. From which:</w:t>
            </w:r>
          </w:p>
        </w:tc>
        <w:tc>
          <w:tcPr>
            <w:tcW w:w="1276" w:type="dxa"/>
            <w:shd w:val="clear" w:color="auto" w:fill="auto"/>
          </w:tcPr>
          <w:p w14:paraId="257E1665"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712DDB35" w14:textId="77777777" w:rsidR="008E08C4" w:rsidRPr="0029408A" w:rsidRDefault="00722AC2"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P.30 subp.10) of Regulation 109/2018</w:t>
            </w:r>
          </w:p>
        </w:tc>
        <w:tc>
          <w:tcPr>
            <w:tcW w:w="6100" w:type="dxa"/>
            <w:shd w:val="clear" w:color="auto" w:fill="auto"/>
          </w:tcPr>
          <w:p w14:paraId="073F7B24" w14:textId="77777777" w:rsidR="008E08C4" w:rsidRPr="0029408A" w:rsidRDefault="003134E9"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It reflects the value of the exposure, which qualifies for a risk weight of 1000%, when the bank opts for the deduction alternative, as provided in p.30 subp.10) of Regulation 109/2018.</w:t>
            </w:r>
          </w:p>
        </w:tc>
      </w:tr>
      <w:tr w:rsidR="00074C65" w:rsidRPr="0029408A" w14:paraId="343D43AC" w14:textId="77777777" w:rsidTr="0029408A">
        <w:trPr>
          <w:trHeight w:val="719"/>
        </w:trPr>
        <w:tc>
          <w:tcPr>
            <w:tcW w:w="704" w:type="dxa"/>
            <w:shd w:val="clear" w:color="auto" w:fill="auto"/>
          </w:tcPr>
          <w:p w14:paraId="734A6B7F"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090AE77E" w14:textId="77777777" w:rsidR="008E08C4" w:rsidRPr="0029408A" w:rsidRDefault="008E08C4" w:rsidP="0029408A">
            <w:pPr>
              <w:tabs>
                <w:tab w:val="left" w:pos="1134"/>
              </w:tabs>
              <w:spacing w:after="0" w:line="240" w:lineRule="auto"/>
              <w:jc w:val="both"/>
              <w:rPr>
                <w:rFonts w:ascii="Times New Roman" w:hAnsi="Times New Roman"/>
                <w:b/>
                <w:color w:val="000000"/>
                <w:sz w:val="24"/>
                <w:szCs w:val="24"/>
                <w:lang w:val="en-GB"/>
              </w:rPr>
            </w:pPr>
            <w:r w:rsidRPr="0029408A">
              <w:rPr>
                <w:rFonts w:ascii="Times New Roman" w:hAnsi="Times New Roman"/>
                <w:color w:val="000000"/>
                <w:sz w:val="24"/>
                <w:szCs w:val="24"/>
                <w:lang w:val="en-GB"/>
              </w:rPr>
              <w:t xml:space="preserve"> - </w:t>
            </w:r>
            <w:r w:rsidR="007070C2" w:rsidRPr="0029408A">
              <w:rPr>
                <w:rFonts w:ascii="Times New Roman" w:hAnsi="Times New Roman"/>
                <w:color w:val="000000"/>
                <w:sz w:val="24"/>
                <w:szCs w:val="24"/>
                <w:lang w:val="en-GB"/>
              </w:rPr>
              <w:t>securitization positions;</w:t>
            </w:r>
            <w:r w:rsidRPr="0029408A">
              <w:rPr>
                <w:rFonts w:ascii="Times New Roman" w:hAnsi="Times New Roman"/>
                <w:color w:val="000000"/>
                <w:sz w:val="24"/>
                <w:szCs w:val="24"/>
                <w:lang w:val="en-GB"/>
              </w:rPr>
              <w:t xml:space="preserve"> </w:t>
            </w:r>
            <w:r w:rsidR="00784E8F" w:rsidRPr="0029408A">
              <w:rPr>
                <w:rFonts w:ascii="Times New Roman" w:eastAsia="Arial Unicode MS" w:hAnsi="Times New Roman"/>
                <w:i/>
                <w:color w:val="000000"/>
                <w:sz w:val="24"/>
                <w:szCs w:val="24"/>
                <w:lang w:val="en-GB"/>
              </w:rPr>
              <w:t>(negative value)</w:t>
            </w:r>
          </w:p>
        </w:tc>
        <w:tc>
          <w:tcPr>
            <w:tcW w:w="1276" w:type="dxa"/>
            <w:shd w:val="clear" w:color="auto" w:fill="auto"/>
          </w:tcPr>
          <w:p w14:paraId="025F8619" w14:textId="77777777" w:rsidR="008E08C4" w:rsidRPr="0029408A" w:rsidRDefault="008E08C4" w:rsidP="0029408A">
            <w:pPr>
              <w:jc w:val="center"/>
              <w:rPr>
                <w:rFonts w:ascii="Times New Roman" w:hAnsi="Times New Roman"/>
                <w:color w:val="000000"/>
                <w:sz w:val="24"/>
                <w:szCs w:val="24"/>
                <w:lang w:val="en-GB"/>
              </w:rPr>
            </w:pPr>
            <w:r w:rsidRPr="0029408A">
              <w:rPr>
                <w:rFonts w:ascii="Times New Roman" w:hAnsi="Times New Roman"/>
                <w:color w:val="000000"/>
                <w:sz w:val="24"/>
                <w:szCs w:val="24"/>
                <w:lang w:val="en-GB"/>
              </w:rPr>
              <w:t>X</w:t>
            </w:r>
          </w:p>
        </w:tc>
        <w:tc>
          <w:tcPr>
            <w:tcW w:w="2694" w:type="dxa"/>
            <w:shd w:val="clear" w:color="auto" w:fill="auto"/>
          </w:tcPr>
          <w:p w14:paraId="25A81ED6" w14:textId="77777777" w:rsidR="008E08C4" w:rsidRPr="0029408A" w:rsidRDefault="008E08C4" w:rsidP="0029408A">
            <w:pPr>
              <w:jc w:val="center"/>
              <w:rPr>
                <w:rFonts w:ascii="Times New Roman" w:hAnsi="Times New Roman"/>
                <w:color w:val="000000"/>
                <w:sz w:val="24"/>
                <w:szCs w:val="24"/>
                <w:lang w:val="en-GB"/>
              </w:rPr>
            </w:pPr>
          </w:p>
        </w:tc>
        <w:tc>
          <w:tcPr>
            <w:tcW w:w="6100" w:type="dxa"/>
            <w:shd w:val="clear" w:color="auto" w:fill="auto"/>
          </w:tcPr>
          <w:p w14:paraId="3DB3C299" w14:textId="77777777" w:rsidR="008E08C4" w:rsidRPr="0029408A" w:rsidRDefault="008E08C4" w:rsidP="0029408A">
            <w:pPr>
              <w:jc w:val="center"/>
              <w:rPr>
                <w:rFonts w:ascii="Times New Roman" w:hAnsi="Times New Roman"/>
                <w:color w:val="000000"/>
                <w:sz w:val="24"/>
                <w:szCs w:val="24"/>
                <w:lang w:val="en-GB"/>
              </w:rPr>
            </w:pPr>
          </w:p>
        </w:tc>
      </w:tr>
      <w:tr w:rsidR="00074C65" w:rsidRPr="0029408A" w14:paraId="5E95C35D" w14:textId="77777777" w:rsidTr="0029408A">
        <w:tc>
          <w:tcPr>
            <w:tcW w:w="704" w:type="dxa"/>
            <w:shd w:val="clear" w:color="auto" w:fill="auto"/>
          </w:tcPr>
          <w:p w14:paraId="2D59DA07"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6B0E0F63" w14:textId="77777777" w:rsidR="008E08C4" w:rsidRPr="0029408A" w:rsidRDefault="00C87B1B" w:rsidP="0029408A">
            <w:pPr>
              <w:tabs>
                <w:tab w:val="left" w:pos="1134"/>
              </w:tabs>
              <w:spacing w:after="0" w:line="240" w:lineRule="auto"/>
              <w:jc w:val="both"/>
              <w:rPr>
                <w:rFonts w:ascii="Times New Roman" w:hAnsi="Times New Roman"/>
                <w:b/>
                <w:color w:val="000000"/>
                <w:sz w:val="24"/>
                <w:szCs w:val="24"/>
                <w:lang w:val="en-GB"/>
              </w:rPr>
            </w:pPr>
            <w:r w:rsidRPr="0029408A">
              <w:rPr>
                <w:rFonts w:ascii="Times New Roman" w:hAnsi="Times New Roman"/>
                <w:b/>
                <w:color w:val="000000"/>
                <w:sz w:val="24"/>
                <w:szCs w:val="24"/>
                <w:lang w:val="en-GB"/>
              </w:rPr>
              <w:t xml:space="preserve"> </w:t>
            </w:r>
            <w:r w:rsidR="008E08C4" w:rsidRPr="0029408A">
              <w:rPr>
                <w:rFonts w:ascii="Times New Roman" w:eastAsia="Arial Unicode MS" w:hAnsi="Times New Roman"/>
                <w:color w:val="000000"/>
                <w:sz w:val="24"/>
                <w:szCs w:val="24"/>
                <w:lang w:val="en-GB"/>
              </w:rPr>
              <w:t xml:space="preserve">- </w:t>
            </w:r>
            <w:r w:rsidR="007070C2" w:rsidRPr="0029408A">
              <w:rPr>
                <w:rFonts w:ascii="Times New Roman" w:eastAsia="Arial Unicode MS" w:hAnsi="Times New Roman"/>
                <w:color w:val="000000"/>
                <w:sz w:val="24"/>
                <w:szCs w:val="24"/>
                <w:lang w:val="en-GB"/>
              </w:rPr>
              <w:t xml:space="preserve">incomplete transactions; </w:t>
            </w:r>
            <w:r w:rsidR="00784E8F" w:rsidRPr="0029408A">
              <w:rPr>
                <w:rFonts w:ascii="Times New Roman" w:eastAsia="Arial Unicode MS" w:hAnsi="Times New Roman"/>
                <w:i/>
                <w:color w:val="000000"/>
                <w:sz w:val="24"/>
                <w:szCs w:val="24"/>
                <w:lang w:val="en-GB"/>
              </w:rPr>
              <w:t>(negative value)</w:t>
            </w:r>
          </w:p>
        </w:tc>
        <w:tc>
          <w:tcPr>
            <w:tcW w:w="1276" w:type="dxa"/>
            <w:shd w:val="clear" w:color="auto" w:fill="auto"/>
          </w:tcPr>
          <w:p w14:paraId="157148CC" w14:textId="77777777" w:rsidR="008E08C4" w:rsidRPr="0029408A" w:rsidRDefault="008E08C4" w:rsidP="008E08C4">
            <w:pPr>
              <w:rPr>
                <w:rFonts w:ascii="Times New Roman" w:eastAsia="Arial Unicode MS" w:hAnsi="Times New Roman"/>
                <w:color w:val="000000"/>
                <w:sz w:val="24"/>
                <w:szCs w:val="24"/>
                <w:lang w:val="en-GB"/>
              </w:rPr>
            </w:pPr>
          </w:p>
        </w:tc>
        <w:tc>
          <w:tcPr>
            <w:tcW w:w="2694" w:type="dxa"/>
            <w:shd w:val="clear" w:color="auto" w:fill="auto"/>
          </w:tcPr>
          <w:p w14:paraId="36026917" w14:textId="77777777" w:rsidR="008E08C4" w:rsidRPr="0029408A" w:rsidRDefault="00722AC2" w:rsidP="008E08C4">
            <w:pPr>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P.30 subp.10) of Regulation 109/2018</w:t>
            </w:r>
          </w:p>
        </w:tc>
        <w:tc>
          <w:tcPr>
            <w:tcW w:w="6100" w:type="dxa"/>
            <w:shd w:val="clear" w:color="auto" w:fill="auto"/>
          </w:tcPr>
          <w:p w14:paraId="15866CED" w14:textId="77777777" w:rsidR="008E08C4" w:rsidRPr="0029408A" w:rsidRDefault="007C0AF0" w:rsidP="008E08C4">
            <w:pPr>
              <w:rPr>
                <w:rFonts w:ascii="Times New Roman" w:hAnsi="Times New Roman"/>
                <w:i/>
                <w:color w:val="000000"/>
                <w:sz w:val="24"/>
                <w:szCs w:val="24"/>
                <w:lang w:val="en-GB"/>
              </w:rPr>
            </w:pPr>
            <w:r w:rsidRPr="0029408A">
              <w:rPr>
                <w:rFonts w:ascii="Times New Roman" w:eastAsia="Arial Unicode MS" w:hAnsi="Times New Roman"/>
                <w:color w:val="000000"/>
                <w:sz w:val="24"/>
                <w:szCs w:val="24"/>
                <w:lang w:val="en-GB"/>
              </w:rPr>
              <w:t xml:space="preserve">It reflects the value of incomplete transactions in accordance with p.30 subp.10) of Regulation 109/2018 and p.10 of the Regulation on the treatment of settlement / delivery risk for </w:t>
            </w:r>
            <w:r w:rsidRPr="0029408A">
              <w:rPr>
                <w:rFonts w:ascii="Times New Roman" w:eastAsia="Arial Unicode MS" w:hAnsi="Times New Roman"/>
                <w:color w:val="000000"/>
                <w:sz w:val="24"/>
                <w:szCs w:val="24"/>
                <w:lang w:val="en-GB"/>
              </w:rPr>
              <w:lastRenderedPageBreak/>
              <w:t>banks, approved by the Decision of the Executive Board of the National Bank of Moldova no.115 of 24.05.2018.</w:t>
            </w:r>
            <w:r w:rsidR="008E08C4" w:rsidRPr="0029408A">
              <w:rPr>
                <w:rFonts w:ascii="Times New Roman" w:hAnsi="Times New Roman"/>
                <w:i/>
                <w:color w:val="000000"/>
                <w:sz w:val="24"/>
                <w:szCs w:val="24"/>
                <w:lang w:val="en-GB"/>
              </w:rPr>
              <w:t xml:space="preserve"> </w:t>
            </w:r>
          </w:p>
          <w:p w14:paraId="610D8435" w14:textId="77777777" w:rsidR="008E08C4" w:rsidRPr="0029408A" w:rsidRDefault="00784E8F" w:rsidP="008E08C4">
            <w:pPr>
              <w:rPr>
                <w:rFonts w:ascii="Times New Roman" w:hAnsi="Times New Roman"/>
                <w:color w:val="000000"/>
                <w:sz w:val="24"/>
                <w:szCs w:val="24"/>
                <w:lang w:val="en-GB"/>
              </w:rPr>
            </w:pPr>
            <w:r w:rsidRPr="0029408A">
              <w:rPr>
                <w:rFonts w:ascii="Times New Roman" w:eastAsia="Arial Unicode MS" w:hAnsi="Times New Roman"/>
                <w:i/>
                <w:color w:val="000000"/>
                <w:sz w:val="24"/>
                <w:szCs w:val="24"/>
                <w:lang w:val="en-GB"/>
              </w:rPr>
              <w:t>(negative value)</w:t>
            </w:r>
          </w:p>
        </w:tc>
      </w:tr>
      <w:tr w:rsidR="00074C65" w:rsidRPr="0029408A" w14:paraId="6CAEC324" w14:textId="77777777" w:rsidTr="0029408A">
        <w:tc>
          <w:tcPr>
            <w:tcW w:w="704" w:type="dxa"/>
            <w:shd w:val="clear" w:color="auto" w:fill="auto"/>
          </w:tcPr>
          <w:p w14:paraId="3274A605"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4011E27C" w14:textId="77777777" w:rsidR="008E08C4" w:rsidRPr="0029408A" w:rsidRDefault="000F41E8"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Deferred tax liabilities resulting from temporary holdings (value above the 10% threshold with the deduction of tax obligations when the conditions from p.40 of Regulation 109/2018 are met)</w:t>
            </w:r>
            <w:r w:rsidR="008E08C4" w:rsidRPr="0029408A">
              <w:rPr>
                <w:rFonts w:ascii="Times New Roman" w:eastAsia="Arial Unicode MS" w:hAnsi="Times New Roman"/>
                <w:color w:val="000000"/>
                <w:sz w:val="24"/>
                <w:szCs w:val="24"/>
                <w:lang w:val="en-GB"/>
              </w:rPr>
              <w:t xml:space="preserve"> </w:t>
            </w:r>
            <w:r w:rsidR="00784E8F" w:rsidRPr="0029408A">
              <w:rPr>
                <w:rFonts w:ascii="Times New Roman" w:eastAsia="Arial Unicode MS" w:hAnsi="Times New Roman"/>
                <w:i/>
                <w:color w:val="000000"/>
                <w:sz w:val="24"/>
                <w:szCs w:val="24"/>
                <w:lang w:val="en-GB"/>
              </w:rPr>
              <w:t>(negative value)</w:t>
            </w:r>
          </w:p>
        </w:tc>
        <w:tc>
          <w:tcPr>
            <w:tcW w:w="1276" w:type="dxa"/>
            <w:shd w:val="clear" w:color="auto" w:fill="auto"/>
          </w:tcPr>
          <w:p w14:paraId="092A92A1"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4147ED53" w14:textId="77777777" w:rsidR="008E08C4" w:rsidRPr="0029408A" w:rsidRDefault="000F41E8"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P.30 subp.3), p. 38-43 and p.63 subp.1) of Regulation 109/2018</w:t>
            </w:r>
          </w:p>
        </w:tc>
        <w:tc>
          <w:tcPr>
            <w:tcW w:w="6100" w:type="dxa"/>
            <w:shd w:val="clear" w:color="auto" w:fill="auto"/>
          </w:tcPr>
          <w:p w14:paraId="7F6863E3" w14:textId="77777777" w:rsidR="008E08C4" w:rsidRPr="0029408A" w:rsidRDefault="008F31E9"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It reflects the deferred tax liabilities resulting from temporary holdings (value above the threshold of 10% with the deduction of tax obligations when the conditions from p.40 of Regulation 109/2018 are met) in accordance with p.30 subp.3), p. 38-43 and p.63 subp.1) of Regulation 109/2018</w:t>
            </w:r>
            <w:r w:rsidR="008E08C4" w:rsidRPr="0029408A">
              <w:rPr>
                <w:rFonts w:ascii="Times New Roman" w:hAnsi="Times New Roman"/>
                <w:color w:val="000000"/>
                <w:sz w:val="24"/>
                <w:szCs w:val="24"/>
                <w:lang w:val="en-GB"/>
              </w:rPr>
              <w:t>.</w:t>
            </w:r>
          </w:p>
          <w:p w14:paraId="62CCFA64" w14:textId="77777777" w:rsidR="008E08C4" w:rsidRPr="0029408A" w:rsidRDefault="00784E8F" w:rsidP="008E08C4">
            <w:pPr>
              <w:rPr>
                <w:rFonts w:ascii="Times New Roman" w:hAnsi="Times New Roman"/>
                <w:color w:val="000000"/>
                <w:sz w:val="24"/>
                <w:szCs w:val="24"/>
                <w:lang w:val="en-GB"/>
              </w:rPr>
            </w:pPr>
            <w:r w:rsidRPr="0029408A">
              <w:rPr>
                <w:rFonts w:ascii="Times New Roman" w:eastAsia="Arial Unicode MS" w:hAnsi="Times New Roman"/>
                <w:i/>
                <w:color w:val="000000"/>
                <w:sz w:val="24"/>
                <w:szCs w:val="24"/>
                <w:lang w:val="en-GB"/>
              </w:rPr>
              <w:t>(negative value)</w:t>
            </w:r>
          </w:p>
        </w:tc>
      </w:tr>
      <w:tr w:rsidR="00074C65" w:rsidRPr="0029408A" w14:paraId="481F5036" w14:textId="77777777" w:rsidTr="0029408A">
        <w:tc>
          <w:tcPr>
            <w:tcW w:w="704" w:type="dxa"/>
            <w:shd w:val="clear" w:color="auto" w:fill="auto"/>
          </w:tcPr>
          <w:p w14:paraId="07811CBD"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7F383E6C" w14:textId="77777777" w:rsidR="008E08C4" w:rsidRPr="0029408A" w:rsidRDefault="00BF76B6"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Value above the threshold of 15%</w:t>
            </w:r>
            <w:r w:rsidR="008E08C4" w:rsidRPr="0029408A">
              <w:rPr>
                <w:rFonts w:ascii="Times New Roman" w:eastAsia="Arial Unicode MS" w:hAnsi="Times New Roman"/>
                <w:color w:val="000000"/>
                <w:sz w:val="24"/>
                <w:szCs w:val="24"/>
                <w:lang w:val="en-GB"/>
              </w:rPr>
              <w:t xml:space="preserve"> </w:t>
            </w:r>
            <w:r w:rsidR="00784E8F" w:rsidRPr="0029408A">
              <w:rPr>
                <w:rFonts w:ascii="Times New Roman" w:eastAsia="Arial Unicode MS" w:hAnsi="Times New Roman"/>
                <w:i/>
                <w:color w:val="000000"/>
                <w:sz w:val="24"/>
                <w:szCs w:val="24"/>
                <w:lang w:val="en-GB"/>
              </w:rPr>
              <w:t>(negative value)</w:t>
            </w:r>
          </w:p>
        </w:tc>
        <w:tc>
          <w:tcPr>
            <w:tcW w:w="1276" w:type="dxa"/>
            <w:shd w:val="clear" w:color="auto" w:fill="auto"/>
          </w:tcPr>
          <w:p w14:paraId="2BBFA52E"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72309792" w14:textId="77777777" w:rsidR="008E08C4" w:rsidRPr="0029408A" w:rsidRDefault="000F41E8"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P.63 of Regulation 109/2018</w:t>
            </w:r>
          </w:p>
        </w:tc>
        <w:tc>
          <w:tcPr>
            <w:tcW w:w="6100" w:type="dxa"/>
            <w:shd w:val="clear" w:color="auto" w:fill="auto"/>
          </w:tcPr>
          <w:p w14:paraId="4D33AF47" w14:textId="77777777" w:rsidR="00BF76B6" w:rsidRPr="0029408A" w:rsidRDefault="00BF76B6"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value above the threshold of 15% in accordance with p.63 of Regulation 109/2018. </w:t>
            </w:r>
          </w:p>
          <w:p w14:paraId="52D81EB8" w14:textId="77777777" w:rsidR="008E08C4" w:rsidRPr="0029408A" w:rsidRDefault="00784E8F" w:rsidP="008E08C4">
            <w:pPr>
              <w:rPr>
                <w:rFonts w:ascii="Times New Roman" w:hAnsi="Times New Roman"/>
                <w:color w:val="000000"/>
                <w:sz w:val="24"/>
                <w:szCs w:val="24"/>
                <w:lang w:val="en-GB"/>
              </w:rPr>
            </w:pPr>
            <w:r w:rsidRPr="0029408A">
              <w:rPr>
                <w:rFonts w:ascii="Times New Roman" w:eastAsia="Arial Unicode MS" w:hAnsi="Times New Roman"/>
                <w:i/>
                <w:color w:val="000000"/>
                <w:sz w:val="24"/>
                <w:szCs w:val="24"/>
                <w:lang w:val="en-GB"/>
              </w:rPr>
              <w:t>(negative value)</w:t>
            </w:r>
          </w:p>
        </w:tc>
      </w:tr>
      <w:tr w:rsidR="00074C65" w:rsidRPr="0029408A" w14:paraId="2394F022" w14:textId="77777777" w:rsidTr="0029408A">
        <w:tc>
          <w:tcPr>
            <w:tcW w:w="704" w:type="dxa"/>
            <w:shd w:val="clear" w:color="auto" w:fill="auto"/>
          </w:tcPr>
          <w:p w14:paraId="7454F983"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7AF504E2" w14:textId="77777777" w:rsidR="008E08C4" w:rsidRPr="0029408A" w:rsidRDefault="00C87B1B" w:rsidP="008E08C4">
            <w:pPr>
              <w:rPr>
                <w:rFonts w:ascii="Times New Roman" w:hAnsi="Times New Roman"/>
                <w:color w:val="000000"/>
                <w:sz w:val="24"/>
                <w:szCs w:val="24"/>
                <w:lang w:val="en-GB"/>
              </w:rPr>
            </w:pPr>
            <w:r w:rsidRPr="0029408A">
              <w:rPr>
                <w:rFonts w:ascii="Times New Roman" w:hAnsi="Times New Roman"/>
                <w:b/>
                <w:color w:val="000000"/>
                <w:sz w:val="24"/>
                <w:szCs w:val="24"/>
                <w:lang w:val="en-GB"/>
              </w:rPr>
              <w:t xml:space="preserve"> </w:t>
            </w:r>
            <w:r w:rsidR="005E580C" w:rsidRPr="0029408A">
              <w:rPr>
                <w:rFonts w:ascii="Times New Roman" w:hAnsi="Times New Roman"/>
                <w:color w:val="000000"/>
                <w:sz w:val="24"/>
                <w:szCs w:val="24"/>
                <w:lang w:val="en-GB"/>
              </w:rPr>
              <w:t xml:space="preserve">- of which: direct and indirect holdings of the bank of </w:t>
            </w:r>
            <w:r w:rsidR="005E580C" w:rsidRPr="0029408A">
              <w:rPr>
                <w:rFonts w:ascii="Times New Roman" w:eastAsia="Arial Unicode MS" w:hAnsi="Times New Roman"/>
                <w:color w:val="000000"/>
                <w:sz w:val="24"/>
                <w:szCs w:val="24"/>
                <w:lang w:val="en-GB"/>
              </w:rPr>
              <w:t>Common Equity Tier 1 capital instruments / equity of financial sector entities</w:t>
            </w:r>
            <w:r w:rsidR="005E580C" w:rsidRPr="0029408A">
              <w:rPr>
                <w:rFonts w:ascii="Times New Roman" w:hAnsi="Times New Roman"/>
                <w:color w:val="000000"/>
                <w:sz w:val="24"/>
                <w:szCs w:val="24"/>
                <w:lang w:val="en-GB"/>
              </w:rPr>
              <w:t xml:space="preserve"> in which the bank holds a significant investment</w:t>
            </w:r>
          </w:p>
        </w:tc>
        <w:tc>
          <w:tcPr>
            <w:tcW w:w="1276" w:type="dxa"/>
            <w:shd w:val="clear" w:color="auto" w:fill="auto"/>
          </w:tcPr>
          <w:p w14:paraId="24C93A54"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56CF7577" w14:textId="77777777" w:rsidR="008E08C4" w:rsidRPr="0029408A" w:rsidRDefault="000F41E8"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P.30 subp.8) and p.63 subp.2) of Regulation 109/2018</w:t>
            </w:r>
          </w:p>
        </w:tc>
        <w:tc>
          <w:tcPr>
            <w:tcW w:w="6100" w:type="dxa"/>
            <w:shd w:val="clear" w:color="auto" w:fill="auto"/>
          </w:tcPr>
          <w:p w14:paraId="6FDA44F9" w14:textId="77777777" w:rsidR="008E08C4" w:rsidRPr="0029408A" w:rsidRDefault="009F3B25"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From the value reported in </w:t>
            </w:r>
            <w:r w:rsidR="00496DC9" w:rsidRPr="0029408A">
              <w:rPr>
                <w:rFonts w:ascii="Times New Roman" w:hAnsi="Times New Roman"/>
                <w:color w:val="000000"/>
                <w:sz w:val="24"/>
                <w:szCs w:val="24"/>
                <w:lang w:val="en-GB"/>
              </w:rPr>
              <w:t>row</w:t>
            </w:r>
            <w:r w:rsidRPr="0029408A">
              <w:rPr>
                <w:rFonts w:ascii="Times New Roman" w:hAnsi="Times New Roman"/>
                <w:color w:val="000000"/>
                <w:sz w:val="24"/>
                <w:szCs w:val="24"/>
                <w:lang w:val="en-GB"/>
              </w:rPr>
              <w:t xml:space="preserve"> 21 the value of the direct and indirect holdings of the bank of </w:t>
            </w:r>
            <w:r w:rsidRPr="0029408A">
              <w:rPr>
                <w:rFonts w:ascii="Times New Roman" w:eastAsia="Arial Unicode MS" w:hAnsi="Times New Roman"/>
                <w:color w:val="000000"/>
                <w:sz w:val="24"/>
                <w:szCs w:val="24"/>
                <w:lang w:val="en-GB"/>
              </w:rPr>
              <w:t>Common Equity Tier 1 capital instruments / equity of financial sector entities</w:t>
            </w:r>
            <w:r w:rsidRPr="0029408A">
              <w:rPr>
                <w:rFonts w:ascii="Times New Roman" w:hAnsi="Times New Roman"/>
                <w:color w:val="000000"/>
                <w:sz w:val="24"/>
                <w:szCs w:val="24"/>
                <w:lang w:val="en-GB"/>
              </w:rPr>
              <w:t xml:space="preserve"> in which the bank holds a significant investment, as provided in p.30 subp.</w:t>
            </w:r>
            <w:proofErr w:type="gramStart"/>
            <w:r w:rsidRPr="0029408A">
              <w:rPr>
                <w:rFonts w:ascii="Times New Roman" w:hAnsi="Times New Roman"/>
                <w:color w:val="000000"/>
                <w:sz w:val="24"/>
                <w:szCs w:val="24"/>
                <w:lang w:val="en-GB"/>
              </w:rPr>
              <w:t>8 )</w:t>
            </w:r>
            <w:proofErr w:type="gramEnd"/>
            <w:r w:rsidRPr="0029408A">
              <w:rPr>
                <w:rFonts w:ascii="Times New Roman" w:hAnsi="Times New Roman"/>
                <w:color w:val="000000"/>
                <w:sz w:val="24"/>
                <w:szCs w:val="24"/>
                <w:lang w:val="en-GB"/>
              </w:rPr>
              <w:t xml:space="preserve"> and p.63 subp.2) of Regulation 109/2018.</w:t>
            </w:r>
          </w:p>
        </w:tc>
      </w:tr>
      <w:tr w:rsidR="00074C65" w:rsidRPr="0029408A" w14:paraId="5D276555" w14:textId="77777777" w:rsidTr="0029408A">
        <w:trPr>
          <w:trHeight w:val="1390"/>
        </w:trPr>
        <w:tc>
          <w:tcPr>
            <w:tcW w:w="704" w:type="dxa"/>
            <w:shd w:val="clear" w:color="auto" w:fill="auto"/>
          </w:tcPr>
          <w:p w14:paraId="23CCFC94"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0A028466" w14:textId="77777777" w:rsidR="008E08C4" w:rsidRPr="0029408A" w:rsidRDefault="009F3B25" w:rsidP="00C87B1B">
            <w:pPr>
              <w:rPr>
                <w:rFonts w:ascii="Times New Roman" w:hAnsi="Times New Roman"/>
                <w:color w:val="000000"/>
                <w:sz w:val="24"/>
                <w:szCs w:val="24"/>
                <w:lang w:val="en-GB"/>
              </w:rPr>
            </w:pPr>
            <w:r w:rsidRPr="0029408A">
              <w:rPr>
                <w:rFonts w:ascii="Times New Roman" w:hAnsi="Times New Roman"/>
                <w:color w:val="000000"/>
                <w:sz w:val="24"/>
                <w:szCs w:val="24"/>
                <w:lang w:val="en-GB"/>
              </w:rPr>
              <w:t>- of which: deferred tax liabilities arising from temporary differences</w:t>
            </w:r>
          </w:p>
        </w:tc>
        <w:tc>
          <w:tcPr>
            <w:tcW w:w="1276" w:type="dxa"/>
            <w:shd w:val="clear" w:color="auto" w:fill="auto"/>
          </w:tcPr>
          <w:p w14:paraId="1D9DED3C"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4EA2E8C5" w14:textId="77777777" w:rsidR="008E08C4" w:rsidRPr="0029408A" w:rsidRDefault="000F41E8"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P.30 subp.3), p. 38-43 and p.63 subp.1) of Regulation 109/2018</w:t>
            </w:r>
          </w:p>
        </w:tc>
        <w:tc>
          <w:tcPr>
            <w:tcW w:w="6100" w:type="dxa"/>
            <w:shd w:val="clear" w:color="auto" w:fill="auto"/>
          </w:tcPr>
          <w:p w14:paraId="5AC89C77" w14:textId="77777777" w:rsidR="008E08C4" w:rsidRPr="0029408A" w:rsidRDefault="009F3B25" w:rsidP="000432EA">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From the value reported in </w:t>
            </w:r>
            <w:r w:rsidR="00496DC9" w:rsidRPr="0029408A">
              <w:rPr>
                <w:rFonts w:ascii="Times New Roman" w:hAnsi="Times New Roman"/>
                <w:color w:val="000000"/>
                <w:sz w:val="24"/>
                <w:szCs w:val="24"/>
                <w:lang w:val="en-GB"/>
              </w:rPr>
              <w:t>row</w:t>
            </w:r>
            <w:r w:rsidRPr="0029408A">
              <w:rPr>
                <w:rFonts w:ascii="Times New Roman" w:hAnsi="Times New Roman"/>
                <w:color w:val="000000"/>
                <w:sz w:val="24"/>
                <w:szCs w:val="24"/>
                <w:lang w:val="en-GB"/>
              </w:rPr>
              <w:t xml:space="preserve"> 21 the value of deferred tax liabilities resulting from temporary differences, as provided in p.30 subp.3), p.38-43 and p.63 subp.1) of Regulation 109/2018.</w:t>
            </w:r>
          </w:p>
        </w:tc>
      </w:tr>
      <w:tr w:rsidR="00074C65" w:rsidRPr="0029408A" w14:paraId="451E622A" w14:textId="77777777" w:rsidTr="0029408A">
        <w:tc>
          <w:tcPr>
            <w:tcW w:w="704" w:type="dxa"/>
            <w:shd w:val="clear" w:color="auto" w:fill="auto"/>
          </w:tcPr>
          <w:p w14:paraId="4B67617E"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58140307" w14:textId="77777777" w:rsidR="008E08C4" w:rsidRPr="0029408A" w:rsidRDefault="009F3B25"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Losses for the current financial year</w:t>
            </w:r>
            <w:r w:rsidR="008E08C4" w:rsidRPr="0029408A">
              <w:rPr>
                <w:rFonts w:ascii="Times New Roman" w:eastAsia="Arial Unicode MS" w:hAnsi="Times New Roman"/>
                <w:color w:val="000000"/>
                <w:sz w:val="24"/>
                <w:szCs w:val="24"/>
                <w:lang w:val="en-GB"/>
              </w:rPr>
              <w:t xml:space="preserve"> </w:t>
            </w:r>
            <w:r w:rsidR="00784E8F" w:rsidRPr="0029408A">
              <w:rPr>
                <w:rFonts w:ascii="Times New Roman" w:eastAsia="Arial Unicode MS" w:hAnsi="Times New Roman"/>
                <w:i/>
                <w:color w:val="000000"/>
                <w:sz w:val="24"/>
                <w:szCs w:val="24"/>
                <w:lang w:val="en-GB"/>
              </w:rPr>
              <w:t>(negative value)</w:t>
            </w:r>
          </w:p>
        </w:tc>
        <w:tc>
          <w:tcPr>
            <w:tcW w:w="1276" w:type="dxa"/>
            <w:shd w:val="clear" w:color="auto" w:fill="auto"/>
          </w:tcPr>
          <w:p w14:paraId="12C4FEBC"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2A6D27F2" w14:textId="77777777" w:rsidR="008E08C4" w:rsidRPr="0029408A" w:rsidRDefault="000F41E8"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P.30, subp.1) of Regulation 109/2018</w:t>
            </w:r>
          </w:p>
        </w:tc>
        <w:tc>
          <w:tcPr>
            <w:tcW w:w="6100" w:type="dxa"/>
            <w:shd w:val="clear" w:color="auto" w:fill="auto"/>
          </w:tcPr>
          <w:p w14:paraId="38A24ADA" w14:textId="77777777" w:rsidR="008E08C4" w:rsidRPr="0029408A" w:rsidRDefault="009F3B25"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w:t>
            </w:r>
            <w:proofErr w:type="gramStart"/>
            <w:r w:rsidRPr="0029408A">
              <w:rPr>
                <w:rFonts w:ascii="Times New Roman" w:hAnsi="Times New Roman"/>
                <w:color w:val="000000"/>
                <w:sz w:val="24"/>
                <w:szCs w:val="24"/>
                <w:lang w:val="en-GB"/>
              </w:rPr>
              <w:t>amount</w:t>
            </w:r>
            <w:proofErr w:type="gramEnd"/>
            <w:r w:rsidRPr="0029408A">
              <w:rPr>
                <w:rFonts w:ascii="Times New Roman" w:hAnsi="Times New Roman"/>
                <w:color w:val="000000"/>
                <w:sz w:val="24"/>
                <w:szCs w:val="24"/>
                <w:lang w:val="en-GB"/>
              </w:rPr>
              <w:t xml:space="preserve"> of losses for the current financial year in accordance with p.30, subp.1) of Regulation 109/2018. </w:t>
            </w:r>
            <w:r w:rsidR="00784E8F" w:rsidRPr="0029408A">
              <w:rPr>
                <w:rFonts w:ascii="Times New Roman" w:eastAsia="Arial Unicode MS" w:hAnsi="Times New Roman"/>
                <w:i/>
                <w:color w:val="000000"/>
                <w:sz w:val="24"/>
                <w:szCs w:val="24"/>
                <w:lang w:val="en-GB"/>
              </w:rPr>
              <w:t>(negative value)</w:t>
            </w:r>
          </w:p>
        </w:tc>
      </w:tr>
      <w:tr w:rsidR="00074C65" w:rsidRPr="0029408A" w14:paraId="2A4C53ED" w14:textId="77777777" w:rsidTr="0029408A">
        <w:tc>
          <w:tcPr>
            <w:tcW w:w="704" w:type="dxa"/>
            <w:shd w:val="clear" w:color="auto" w:fill="auto"/>
          </w:tcPr>
          <w:p w14:paraId="39A8BE59"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199B350D" w14:textId="77777777" w:rsidR="008E08C4" w:rsidRPr="0029408A" w:rsidRDefault="00FB52D4"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 xml:space="preserve">Predictable taxes on Common Equity Tier 1 capital items </w:t>
            </w:r>
            <w:r w:rsidR="00784E8F" w:rsidRPr="0029408A">
              <w:rPr>
                <w:rFonts w:ascii="Times New Roman" w:eastAsia="Arial Unicode MS" w:hAnsi="Times New Roman"/>
                <w:i/>
                <w:color w:val="000000"/>
                <w:sz w:val="24"/>
                <w:szCs w:val="24"/>
                <w:lang w:val="en-GB"/>
              </w:rPr>
              <w:t>(negative value)</w:t>
            </w:r>
          </w:p>
        </w:tc>
        <w:tc>
          <w:tcPr>
            <w:tcW w:w="1276" w:type="dxa"/>
            <w:shd w:val="clear" w:color="auto" w:fill="auto"/>
          </w:tcPr>
          <w:p w14:paraId="724EE998"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58645D0F" w14:textId="77777777" w:rsidR="008E08C4" w:rsidRPr="0029408A" w:rsidRDefault="00FB52D4"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P.30, subp.11) of Regulation 109/2018</w:t>
            </w:r>
          </w:p>
        </w:tc>
        <w:tc>
          <w:tcPr>
            <w:tcW w:w="6100" w:type="dxa"/>
            <w:shd w:val="clear" w:color="auto" w:fill="auto"/>
          </w:tcPr>
          <w:p w14:paraId="1D52F792" w14:textId="77777777" w:rsidR="008E08C4" w:rsidRPr="0029408A" w:rsidRDefault="007F00A1"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amount of any tax on </w:t>
            </w:r>
            <w:r w:rsidRPr="0029408A">
              <w:rPr>
                <w:rFonts w:ascii="Times New Roman" w:eastAsia="Arial Unicode MS" w:hAnsi="Times New Roman"/>
                <w:color w:val="000000"/>
                <w:sz w:val="24"/>
                <w:szCs w:val="24"/>
                <w:lang w:val="en-GB"/>
              </w:rPr>
              <w:t>Common Equity Tier 1 capital items</w:t>
            </w:r>
            <w:r w:rsidRPr="0029408A">
              <w:rPr>
                <w:rFonts w:ascii="Times New Roman" w:hAnsi="Times New Roman"/>
                <w:color w:val="000000"/>
                <w:sz w:val="24"/>
                <w:szCs w:val="24"/>
                <w:lang w:val="en-GB"/>
              </w:rPr>
              <w:t xml:space="preserve"> that is foreseeable at the time of its calculation, unless the bank appropriately adjusts the amount of </w:t>
            </w:r>
            <w:r w:rsidRPr="0029408A">
              <w:rPr>
                <w:rFonts w:ascii="Times New Roman" w:eastAsia="Arial Unicode MS" w:hAnsi="Times New Roman"/>
                <w:color w:val="000000"/>
                <w:sz w:val="24"/>
                <w:szCs w:val="24"/>
                <w:lang w:val="en-GB"/>
              </w:rPr>
              <w:t>Common Equity Tier 1 capital items</w:t>
            </w:r>
            <w:r w:rsidRPr="0029408A">
              <w:rPr>
                <w:rFonts w:ascii="Times New Roman" w:hAnsi="Times New Roman"/>
                <w:color w:val="000000"/>
                <w:sz w:val="24"/>
                <w:szCs w:val="24"/>
                <w:lang w:val="en-GB"/>
              </w:rPr>
              <w:t>, to the extent that such taxes reduce the amount to which these items may be allocated to cover risks or losses, in accordance with p.30, sub.11) of Regulation 109/2018.</w:t>
            </w:r>
          </w:p>
          <w:p w14:paraId="12F05DD4" w14:textId="77777777" w:rsidR="008E08C4" w:rsidRPr="0029408A" w:rsidRDefault="00784E8F" w:rsidP="008E08C4">
            <w:pPr>
              <w:rPr>
                <w:rFonts w:ascii="Times New Roman" w:hAnsi="Times New Roman"/>
                <w:color w:val="000000"/>
                <w:sz w:val="24"/>
                <w:szCs w:val="24"/>
                <w:lang w:val="en-GB"/>
              </w:rPr>
            </w:pPr>
            <w:r w:rsidRPr="0029408A">
              <w:rPr>
                <w:rFonts w:ascii="Times New Roman" w:eastAsia="Arial Unicode MS" w:hAnsi="Times New Roman"/>
                <w:i/>
                <w:color w:val="000000"/>
                <w:sz w:val="24"/>
                <w:szCs w:val="24"/>
                <w:lang w:val="en-GB"/>
              </w:rPr>
              <w:t>(negative value)</w:t>
            </w:r>
          </w:p>
        </w:tc>
      </w:tr>
      <w:tr w:rsidR="00074C65" w:rsidRPr="0029408A" w14:paraId="687799D3" w14:textId="77777777" w:rsidTr="0029408A">
        <w:tc>
          <w:tcPr>
            <w:tcW w:w="704" w:type="dxa"/>
            <w:shd w:val="clear" w:color="auto" w:fill="auto"/>
          </w:tcPr>
          <w:p w14:paraId="4D3C70A1"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22B9BFE9" w14:textId="77777777" w:rsidR="008E08C4" w:rsidRPr="0029408A" w:rsidRDefault="00574795"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 xml:space="preserve">Eligible deductions from Additional Equity Tier 1 capital (AT 1) in excess of the bank's Additional Equity Tier 1 capital </w:t>
            </w:r>
            <w:r w:rsidR="00784E8F" w:rsidRPr="0029408A">
              <w:rPr>
                <w:rFonts w:ascii="Times New Roman" w:eastAsia="Arial Unicode MS" w:hAnsi="Times New Roman"/>
                <w:i/>
                <w:color w:val="000000"/>
                <w:sz w:val="24"/>
                <w:szCs w:val="24"/>
                <w:lang w:val="en-GB"/>
              </w:rPr>
              <w:t>(negative value)</w:t>
            </w:r>
          </w:p>
        </w:tc>
        <w:tc>
          <w:tcPr>
            <w:tcW w:w="1276" w:type="dxa"/>
            <w:shd w:val="clear" w:color="auto" w:fill="auto"/>
          </w:tcPr>
          <w:p w14:paraId="4B0404F1"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743E6D56" w14:textId="77777777" w:rsidR="008E08C4" w:rsidRPr="0029408A" w:rsidRDefault="00FB52D4"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P.30, subp.9) of Regulation 109/2018</w:t>
            </w:r>
          </w:p>
        </w:tc>
        <w:tc>
          <w:tcPr>
            <w:tcW w:w="6100" w:type="dxa"/>
            <w:shd w:val="clear" w:color="auto" w:fill="auto"/>
          </w:tcPr>
          <w:p w14:paraId="19F569A4" w14:textId="77777777" w:rsidR="008E08C4" w:rsidRPr="0029408A" w:rsidRDefault="000B2DF2"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w:t>
            </w:r>
            <w:proofErr w:type="gramStart"/>
            <w:r w:rsidRPr="0029408A">
              <w:rPr>
                <w:rFonts w:ascii="Times New Roman" w:hAnsi="Times New Roman"/>
                <w:color w:val="000000"/>
                <w:sz w:val="24"/>
                <w:szCs w:val="24"/>
                <w:lang w:val="en-GB"/>
              </w:rPr>
              <w:t>amount</w:t>
            </w:r>
            <w:proofErr w:type="gramEnd"/>
            <w:r w:rsidRPr="0029408A">
              <w:rPr>
                <w:rFonts w:ascii="Times New Roman" w:hAnsi="Times New Roman"/>
                <w:color w:val="000000"/>
                <w:sz w:val="24"/>
                <w:szCs w:val="24"/>
                <w:lang w:val="en-GB"/>
              </w:rPr>
              <w:t xml:space="preserve"> of eligible deductions from the bank's </w:t>
            </w:r>
            <w:r w:rsidRPr="0029408A">
              <w:rPr>
                <w:rFonts w:ascii="Times New Roman" w:eastAsia="Arial Unicode MS" w:hAnsi="Times New Roman"/>
                <w:color w:val="000000"/>
                <w:sz w:val="24"/>
                <w:szCs w:val="24"/>
                <w:lang w:val="en-GB"/>
              </w:rPr>
              <w:t xml:space="preserve">Additional Equity Tier 1 capital </w:t>
            </w:r>
            <w:r w:rsidRPr="0029408A">
              <w:rPr>
                <w:rFonts w:ascii="Times New Roman" w:hAnsi="Times New Roman"/>
                <w:color w:val="000000"/>
                <w:sz w:val="24"/>
                <w:szCs w:val="24"/>
                <w:lang w:val="en-GB"/>
              </w:rPr>
              <w:t xml:space="preserve">(AT 1), which exceed the </w:t>
            </w:r>
            <w:r w:rsidRPr="0029408A">
              <w:rPr>
                <w:rFonts w:ascii="Times New Roman" w:eastAsia="Arial Unicode MS" w:hAnsi="Times New Roman"/>
                <w:color w:val="000000"/>
                <w:sz w:val="24"/>
                <w:szCs w:val="24"/>
                <w:lang w:val="en-GB"/>
              </w:rPr>
              <w:t>Additional Equity Tier 1 capital</w:t>
            </w:r>
            <w:r w:rsidRPr="0029408A">
              <w:rPr>
                <w:rFonts w:ascii="Times New Roman" w:hAnsi="Times New Roman"/>
                <w:color w:val="000000"/>
                <w:sz w:val="24"/>
                <w:szCs w:val="24"/>
                <w:lang w:val="en-GB"/>
              </w:rPr>
              <w:t>, as provided in p.30, subp.9) of Regulation 109/2018.</w:t>
            </w:r>
          </w:p>
          <w:p w14:paraId="76E2738B" w14:textId="77777777" w:rsidR="008E08C4" w:rsidRPr="0029408A" w:rsidRDefault="00784E8F" w:rsidP="008E08C4">
            <w:pPr>
              <w:rPr>
                <w:rFonts w:ascii="Times New Roman" w:hAnsi="Times New Roman"/>
                <w:color w:val="000000"/>
                <w:sz w:val="24"/>
                <w:szCs w:val="24"/>
                <w:lang w:val="en-GB"/>
              </w:rPr>
            </w:pPr>
            <w:r w:rsidRPr="0029408A">
              <w:rPr>
                <w:rFonts w:ascii="Times New Roman" w:eastAsia="Arial Unicode MS" w:hAnsi="Times New Roman"/>
                <w:i/>
                <w:color w:val="000000"/>
                <w:sz w:val="24"/>
                <w:szCs w:val="24"/>
                <w:lang w:val="en-GB"/>
              </w:rPr>
              <w:t>(negative value)</w:t>
            </w:r>
          </w:p>
        </w:tc>
      </w:tr>
      <w:tr w:rsidR="00074C65" w:rsidRPr="0029408A" w14:paraId="21C76EAF" w14:textId="77777777" w:rsidTr="0029408A">
        <w:trPr>
          <w:trHeight w:val="1102"/>
        </w:trPr>
        <w:tc>
          <w:tcPr>
            <w:tcW w:w="704" w:type="dxa"/>
            <w:shd w:val="clear" w:color="auto" w:fill="auto"/>
          </w:tcPr>
          <w:p w14:paraId="4F551715"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0E635BE5" w14:textId="77777777" w:rsidR="008E08C4" w:rsidRPr="0029408A" w:rsidRDefault="002D544B" w:rsidP="008E08C4">
            <w:pPr>
              <w:rPr>
                <w:rFonts w:ascii="Times New Roman" w:hAnsi="Times New Roman"/>
                <w:b/>
                <w:color w:val="000000"/>
                <w:sz w:val="24"/>
                <w:szCs w:val="24"/>
                <w:lang w:val="en-GB"/>
              </w:rPr>
            </w:pPr>
            <w:r w:rsidRPr="0029408A">
              <w:rPr>
                <w:rFonts w:ascii="Times New Roman" w:hAnsi="Times New Roman"/>
                <w:b/>
                <w:color w:val="000000"/>
                <w:sz w:val="24"/>
                <w:szCs w:val="24"/>
                <w:lang w:val="en-GB"/>
              </w:rPr>
              <w:t xml:space="preserve">Total regulated adjustments to </w:t>
            </w:r>
            <w:r w:rsidRPr="0029408A">
              <w:rPr>
                <w:rFonts w:ascii="Times New Roman" w:eastAsia="Arial Unicode MS" w:hAnsi="Times New Roman"/>
                <w:b/>
                <w:color w:val="000000"/>
                <w:sz w:val="24"/>
                <w:szCs w:val="24"/>
                <w:lang w:val="en-GB"/>
              </w:rPr>
              <w:t>Common Equity Tier 1 capital</w:t>
            </w:r>
            <w:r w:rsidRPr="0029408A">
              <w:rPr>
                <w:rFonts w:ascii="Times New Roman" w:hAnsi="Times New Roman"/>
                <w:b/>
                <w:color w:val="000000"/>
                <w:sz w:val="24"/>
                <w:szCs w:val="24"/>
                <w:lang w:val="en-GB"/>
              </w:rPr>
              <w:t xml:space="preserve"> (CET 1)</w:t>
            </w:r>
          </w:p>
        </w:tc>
        <w:tc>
          <w:tcPr>
            <w:tcW w:w="1276" w:type="dxa"/>
            <w:shd w:val="clear" w:color="auto" w:fill="auto"/>
          </w:tcPr>
          <w:p w14:paraId="14C91CD0"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02630905" w14:textId="77777777" w:rsidR="008E08C4" w:rsidRPr="0029408A" w:rsidRDefault="0054452B" w:rsidP="005D70B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The sum of rows 7-19, row 22 and the sum of rows 26-28</w:t>
            </w:r>
          </w:p>
        </w:tc>
        <w:tc>
          <w:tcPr>
            <w:tcW w:w="6100" w:type="dxa"/>
            <w:shd w:val="clear" w:color="auto" w:fill="auto"/>
          </w:tcPr>
          <w:p w14:paraId="2C5DB3CC" w14:textId="77777777" w:rsidR="008E08C4" w:rsidRPr="0029408A" w:rsidRDefault="0054452B" w:rsidP="005D70B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Total regulated adjustments of </w:t>
            </w:r>
            <w:r w:rsidRPr="0029408A">
              <w:rPr>
                <w:rFonts w:ascii="Times New Roman" w:eastAsia="Arial Unicode MS" w:hAnsi="Times New Roman"/>
                <w:color w:val="000000"/>
                <w:sz w:val="24"/>
                <w:szCs w:val="24"/>
                <w:lang w:val="en-GB"/>
              </w:rPr>
              <w:t>Common Equity Tier 1 capital</w:t>
            </w:r>
            <w:r w:rsidRPr="0029408A">
              <w:rPr>
                <w:rFonts w:ascii="Times New Roman" w:hAnsi="Times New Roman"/>
                <w:b/>
                <w:color w:val="000000"/>
                <w:sz w:val="24"/>
                <w:szCs w:val="24"/>
                <w:lang w:val="en-GB"/>
              </w:rPr>
              <w:t xml:space="preserve"> </w:t>
            </w:r>
            <w:r w:rsidRPr="0029408A">
              <w:rPr>
                <w:rFonts w:ascii="Times New Roman" w:hAnsi="Times New Roman"/>
                <w:color w:val="000000"/>
                <w:sz w:val="24"/>
                <w:szCs w:val="24"/>
                <w:lang w:val="en-GB"/>
              </w:rPr>
              <w:t>(CET 1), calculated as the sum of rows 7-19, row 22 and the sum of rows 26-28.</w:t>
            </w:r>
          </w:p>
        </w:tc>
      </w:tr>
      <w:tr w:rsidR="00074C65" w:rsidRPr="0029408A" w14:paraId="50473565" w14:textId="77777777" w:rsidTr="0029408A">
        <w:trPr>
          <w:trHeight w:val="849"/>
        </w:trPr>
        <w:tc>
          <w:tcPr>
            <w:tcW w:w="704" w:type="dxa"/>
            <w:shd w:val="clear" w:color="auto" w:fill="auto"/>
          </w:tcPr>
          <w:p w14:paraId="7AEDE452"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135D1933" w14:textId="77777777" w:rsidR="008E08C4" w:rsidRPr="0029408A" w:rsidRDefault="00F45978" w:rsidP="00C87B1B">
            <w:pPr>
              <w:rPr>
                <w:rFonts w:ascii="Times New Roman" w:hAnsi="Times New Roman"/>
                <w:color w:val="000000"/>
                <w:sz w:val="24"/>
                <w:szCs w:val="24"/>
                <w:lang w:val="en-GB"/>
              </w:rPr>
            </w:pPr>
            <w:r w:rsidRPr="0029408A">
              <w:rPr>
                <w:rFonts w:ascii="Times New Roman" w:eastAsia="Arial Unicode MS" w:hAnsi="Times New Roman"/>
                <w:b/>
                <w:color w:val="000000"/>
                <w:sz w:val="24"/>
                <w:szCs w:val="24"/>
                <w:lang w:val="en-GB"/>
              </w:rPr>
              <w:t>Common Equity Tier 1 capital</w:t>
            </w:r>
            <w:r w:rsidRPr="0029408A">
              <w:rPr>
                <w:rFonts w:ascii="Times New Roman" w:hAnsi="Times New Roman"/>
                <w:b/>
                <w:color w:val="000000"/>
                <w:sz w:val="24"/>
                <w:szCs w:val="24"/>
                <w:lang w:val="en-GB"/>
              </w:rPr>
              <w:t xml:space="preserve"> </w:t>
            </w:r>
            <w:r w:rsidRPr="0029408A">
              <w:rPr>
                <w:rFonts w:ascii="Times New Roman" w:eastAsia="Arial Unicode MS" w:hAnsi="Times New Roman"/>
                <w:b/>
                <w:color w:val="000000"/>
                <w:sz w:val="24"/>
                <w:szCs w:val="24"/>
                <w:lang w:val="en-GB"/>
              </w:rPr>
              <w:t>(CET 1)</w:t>
            </w:r>
          </w:p>
        </w:tc>
        <w:tc>
          <w:tcPr>
            <w:tcW w:w="1276" w:type="dxa"/>
            <w:shd w:val="clear" w:color="auto" w:fill="auto"/>
          </w:tcPr>
          <w:p w14:paraId="759C734B" w14:textId="77777777" w:rsidR="008E08C4" w:rsidRPr="0029408A" w:rsidRDefault="008E08C4" w:rsidP="008E08C4">
            <w:pPr>
              <w:rPr>
                <w:rFonts w:ascii="Times New Roman" w:eastAsia="Arial Unicode MS" w:hAnsi="Times New Roman"/>
                <w:color w:val="000000"/>
                <w:sz w:val="24"/>
                <w:szCs w:val="24"/>
                <w:lang w:val="en-GB"/>
              </w:rPr>
            </w:pPr>
          </w:p>
        </w:tc>
        <w:tc>
          <w:tcPr>
            <w:tcW w:w="2694" w:type="dxa"/>
            <w:shd w:val="clear" w:color="auto" w:fill="auto"/>
          </w:tcPr>
          <w:p w14:paraId="0E00062D" w14:textId="77777777" w:rsidR="008E08C4" w:rsidRPr="0029408A" w:rsidRDefault="00F45978" w:rsidP="00B21EE8">
            <w:pPr>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 xml:space="preserve">The </w:t>
            </w:r>
            <w:r w:rsidR="00B21EE8" w:rsidRPr="0029408A">
              <w:rPr>
                <w:rFonts w:ascii="Times New Roman" w:eastAsia="Arial Unicode MS" w:hAnsi="Times New Roman"/>
                <w:color w:val="000000"/>
                <w:sz w:val="24"/>
                <w:szCs w:val="24"/>
                <w:lang w:val="en-GB"/>
              </w:rPr>
              <w:t>sum</w:t>
            </w:r>
            <w:r w:rsidRPr="0029408A">
              <w:rPr>
                <w:rFonts w:ascii="Times New Roman" w:eastAsia="Arial Unicode MS" w:hAnsi="Times New Roman"/>
                <w:color w:val="000000"/>
                <w:sz w:val="24"/>
                <w:szCs w:val="24"/>
                <w:lang w:val="en-GB"/>
              </w:rPr>
              <w:t xml:space="preserve"> of row 6 minus the </w:t>
            </w:r>
            <w:r w:rsidR="00B21EE8" w:rsidRPr="0029408A">
              <w:rPr>
                <w:rFonts w:ascii="Times New Roman" w:eastAsia="Arial Unicode MS" w:hAnsi="Times New Roman"/>
                <w:color w:val="000000"/>
                <w:sz w:val="24"/>
                <w:szCs w:val="24"/>
                <w:lang w:val="en-GB"/>
              </w:rPr>
              <w:t>sum</w:t>
            </w:r>
            <w:r w:rsidRPr="0029408A">
              <w:rPr>
                <w:rFonts w:ascii="Times New Roman" w:eastAsia="Arial Unicode MS" w:hAnsi="Times New Roman"/>
                <w:color w:val="000000"/>
                <w:sz w:val="24"/>
                <w:szCs w:val="24"/>
                <w:lang w:val="en-GB"/>
              </w:rPr>
              <w:t xml:space="preserve"> of row 29</w:t>
            </w:r>
          </w:p>
        </w:tc>
        <w:tc>
          <w:tcPr>
            <w:tcW w:w="6100" w:type="dxa"/>
            <w:shd w:val="clear" w:color="auto" w:fill="auto"/>
          </w:tcPr>
          <w:p w14:paraId="31F99EA0" w14:textId="77777777" w:rsidR="008E08C4" w:rsidRPr="0029408A" w:rsidRDefault="00866D60" w:rsidP="005D70B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Common Equity Tier 1 capital</w:t>
            </w:r>
            <w:r w:rsidRPr="0029408A">
              <w:rPr>
                <w:rFonts w:ascii="Times New Roman" w:hAnsi="Times New Roman"/>
                <w:b/>
                <w:color w:val="000000"/>
                <w:sz w:val="24"/>
                <w:szCs w:val="24"/>
                <w:lang w:val="en-GB"/>
              </w:rPr>
              <w:t xml:space="preserve"> </w:t>
            </w:r>
            <w:r w:rsidRPr="0029408A">
              <w:rPr>
                <w:rFonts w:ascii="Times New Roman" w:eastAsia="Arial Unicode MS" w:hAnsi="Times New Roman"/>
                <w:color w:val="000000"/>
                <w:sz w:val="24"/>
                <w:szCs w:val="24"/>
                <w:lang w:val="en-GB"/>
              </w:rPr>
              <w:t>(CET 1) - is calculated as the amount of row 6 minus the amount of row 29.</w:t>
            </w:r>
          </w:p>
        </w:tc>
      </w:tr>
      <w:tr w:rsidR="00074C65" w:rsidRPr="0029408A" w14:paraId="3F0E2F7A" w14:textId="77777777" w:rsidTr="0029408A">
        <w:tc>
          <w:tcPr>
            <w:tcW w:w="15027" w:type="dxa"/>
            <w:gridSpan w:val="5"/>
            <w:shd w:val="clear" w:color="auto" w:fill="auto"/>
          </w:tcPr>
          <w:p w14:paraId="56D8324A" w14:textId="77777777" w:rsidR="008E08C4" w:rsidRPr="0029408A" w:rsidRDefault="005555DC" w:rsidP="005555DC">
            <w:pPr>
              <w:rPr>
                <w:rFonts w:ascii="Times New Roman" w:hAnsi="Times New Roman"/>
                <w:b/>
                <w:color w:val="000000"/>
                <w:sz w:val="24"/>
                <w:szCs w:val="24"/>
                <w:lang w:val="en-GB"/>
              </w:rPr>
            </w:pPr>
            <w:r w:rsidRPr="0029408A">
              <w:rPr>
                <w:rFonts w:ascii="Times New Roman" w:eastAsia="Arial Unicode MS" w:hAnsi="Times New Roman"/>
                <w:b/>
                <w:color w:val="000000"/>
                <w:sz w:val="24"/>
                <w:szCs w:val="24"/>
                <w:lang w:val="en-GB"/>
              </w:rPr>
              <w:t>Additional Equity Tier 1 capital (AT 1): instruments</w:t>
            </w:r>
          </w:p>
        </w:tc>
      </w:tr>
      <w:tr w:rsidR="00074C65" w:rsidRPr="0029408A" w14:paraId="457ADF2C" w14:textId="77777777" w:rsidTr="0029408A">
        <w:tc>
          <w:tcPr>
            <w:tcW w:w="704" w:type="dxa"/>
            <w:shd w:val="clear" w:color="auto" w:fill="auto"/>
          </w:tcPr>
          <w:p w14:paraId="1E40390F"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20D9B0D8" w14:textId="77777777" w:rsidR="008E08C4" w:rsidRPr="0029408A" w:rsidRDefault="003409A9" w:rsidP="0029408A">
            <w:pPr>
              <w:jc w:val="both"/>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Capital instruments</w:t>
            </w:r>
            <w:r w:rsidR="00F019CE" w:rsidRPr="0029408A">
              <w:rPr>
                <w:rFonts w:ascii="Times New Roman" w:eastAsia="Arial Unicode MS" w:hAnsi="Times New Roman"/>
                <w:color w:val="000000"/>
                <w:sz w:val="24"/>
                <w:szCs w:val="24"/>
                <w:lang w:val="en-GB"/>
              </w:rPr>
              <w:t xml:space="preserve"> and related issue premium accounts</w:t>
            </w:r>
          </w:p>
        </w:tc>
        <w:tc>
          <w:tcPr>
            <w:tcW w:w="1276" w:type="dxa"/>
            <w:shd w:val="clear" w:color="auto" w:fill="auto"/>
          </w:tcPr>
          <w:p w14:paraId="5A621161"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7F4197F1" w14:textId="77777777" w:rsidR="008E08C4" w:rsidRPr="0029408A" w:rsidRDefault="00F019CE"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P.68 -70 of Regulation 109/2018</w:t>
            </w:r>
          </w:p>
        </w:tc>
        <w:tc>
          <w:tcPr>
            <w:tcW w:w="6100" w:type="dxa"/>
            <w:shd w:val="clear" w:color="auto" w:fill="auto"/>
          </w:tcPr>
          <w:p w14:paraId="126EF35D" w14:textId="77777777" w:rsidR="008E08C4" w:rsidRPr="0029408A" w:rsidRDefault="00205117"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It reflects the capital instruments and the related issue premium accounts in accordance with p.68 -70 of Regulation 109/2018.</w:t>
            </w:r>
          </w:p>
        </w:tc>
      </w:tr>
      <w:tr w:rsidR="00074C65" w:rsidRPr="0029408A" w14:paraId="43FA41EE" w14:textId="77777777" w:rsidTr="0029408A">
        <w:tc>
          <w:tcPr>
            <w:tcW w:w="704" w:type="dxa"/>
            <w:shd w:val="clear" w:color="auto" w:fill="auto"/>
          </w:tcPr>
          <w:p w14:paraId="15D07128"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7891BAA8" w14:textId="77777777" w:rsidR="008E08C4" w:rsidRPr="0029408A" w:rsidRDefault="00F76649"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 of which: classified as equity in accordance with applicable accounting standards</w:t>
            </w:r>
          </w:p>
        </w:tc>
        <w:tc>
          <w:tcPr>
            <w:tcW w:w="1276" w:type="dxa"/>
            <w:shd w:val="clear" w:color="auto" w:fill="auto"/>
          </w:tcPr>
          <w:p w14:paraId="09B2C8E7"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2AD201CA" w14:textId="77777777" w:rsidR="008E08C4" w:rsidRPr="0029408A" w:rsidRDefault="00F76649"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Value in </w:t>
            </w:r>
            <w:r w:rsidR="00496DC9" w:rsidRPr="0029408A">
              <w:rPr>
                <w:rFonts w:ascii="Times New Roman" w:hAnsi="Times New Roman"/>
                <w:color w:val="000000"/>
                <w:sz w:val="24"/>
                <w:szCs w:val="24"/>
                <w:lang w:val="en-GB"/>
              </w:rPr>
              <w:t>row</w:t>
            </w:r>
            <w:r w:rsidRPr="0029408A">
              <w:rPr>
                <w:rFonts w:ascii="Times New Roman" w:hAnsi="Times New Roman"/>
                <w:color w:val="000000"/>
                <w:sz w:val="24"/>
                <w:szCs w:val="24"/>
                <w:lang w:val="en-GB"/>
              </w:rPr>
              <w:t xml:space="preserve"> 30 classified as equity in accordance with applicable accounting standards.</w:t>
            </w:r>
          </w:p>
        </w:tc>
        <w:tc>
          <w:tcPr>
            <w:tcW w:w="6100" w:type="dxa"/>
            <w:shd w:val="clear" w:color="auto" w:fill="auto"/>
          </w:tcPr>
          <w:p w14:paraId="559B5AE1" w14:textId="77777777" w:rsidR="008E08C4" w:rsidRPr="0029408A" w:rsidRDefault="002A7A13" w:rsidP="008E08C4">
            <w:pPr>
              <w:rPr>
                <w:rFonts w:ascii="Times New Roman" w:hAnsi="Times New Roman"/>
                <w:color w:val="000000"/>
                <w:sz w:val="24"/>
                <w:szCs w:val="24"/>
                <w:lang w:val="en-GB"/>
              </w:rPr>
            </w:pPr>
            <w:r w:rsidRPr="0029408A">
              <w:rPr>
                <w:rFonts w:ascii="Times New Roman" w:hAnsi="Times New Roman"/>
                <w:color w:val="000000"/>
                <w:sz w:val="24"/>
                <w:szCs w:val="24"/>
                <w:lang w:val="en-GB"/>
              </w:rPr>
              <w:t>It reflects the amount in row 30 classified as equity in accordance with applicable accounting standards.</w:t>
            </w:r>
          </w:p>
        </w:tc>
      </w:tr>
      <w:tr w:rsidR="00074C65" w:rsidRPr="0029408A" w14:paraId="2193AE81" w14:textId="77777777" w:rsidTr="0029408A">
        <w:tc>
          <w:tcPr>
            <w:tcW w:w="704" w:type="dxa"/>
            <w:shd w:val="clear" w:color="auto" w:fill="auto"/>
          </w:tcPr>
          <w:p w14:paraId="72C01948"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4E96C67B" w14:textId="77777777" w:rsidR="008E08C4" w:rsidRPr="0029408A" w:rsidRDefault="00F76649" w:rsidP="0029408A">
            <w:pPr>
              <w:pStyle w:val="ListParagraph"/>
              <w:numPr>
                <w:ilvl w:val="0"/>
                <w:numId w:val="11"/>
              </w:numPr>
              <w:jc w:val="both"/>
              <w:rPr>
                <w:rFonts w:eastAsia="Arial Unicode MS"/>
                <w:color w:val="000000"/>
              </w:rPr>
            </w:pPr>
            <w:r w:rsidRPr="0029408A">
              <w:rPr>
                <w:rFonts w:eastAsia="Arial Unicode MS"/>
                <w:color w:val="000000"/>
              </w:rPr>
              <w:t>of which: classified as liabilities in accordance with applicable accounting standards</w:t>
            </w:r>
          </w:p>
        </w:tc>
        <w:tc>
          <w:tcPr>
            <w:tcW w:w="1276" w:type="dxa"/>
            <w:shd w:val="clear" w:color="auto" w:fill="auto"/>
          </w:tcPr>
          <w:p w14:paraId="0949491C"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5B866447" w14:textId="77777777" w:rsidR="008E08C4" w:rsidRPr="0029408A" w:rsidRDefault="00EA0D7E" w:rsidP="00754990">
            <w:pPr>
              <w:rPr>
                <w:rFonts w:ascii="Times New Roman" w:hAnsi="Times New Roman"/>
                <w:color w:val="000000"/>
                <w:sz w:val="24"/>
                <w:szCs w:val="24"/>
                <w:lang w:val="en-GB"/>
              </w:rPr>
            </w:pPr>
            <w:r w:rsidRPr="0029408A">
              <w:rPr>
                <w:rFonts w:ascii="Times New Roman" w:hAnsi="Times New Roman"/>
                <w:color w:val="000000"/>
                <w:sz w:val="24"/>
                <w:szCs w:val="24"/>
                <w:lang w:val="en-GB"/>
              </w:rPr>
              <w:t>The amount in row 34 is classified as a liability in accordance with applicable accounting standards.</w:t>
            </w:r>
          </w:p>
        </w:tc>
        <w:tc>
          <w:tcPr>
            <w:tcW w:w="6100" w:type="dxa"/>
            <w:shd w:val="clear" w:color="auto" w:fill="auto"/>
          </w:tcPr>
          <w:p w14:paraId="4DC1DEF8" w14:textId="77777777" w:rsidR="008E08C4" w:rsidRPr="0029408A" w:rsidRDefault="00EA0D7E" w:rsidP="00754990">
            <w:pPr>
              <w:rPr>
                <w:rFonts w:ascii="Times New Roman" w:hAnsi="Times New Roman"/>
                <w:color w:val="000000"/>
                <w:sz w:val="24"/>
                <w:szCs w:val="24"/>
                <w:lang w:val="en-GB"/>
              </w:rPr>
            </w:pPr>
            <w:r w:rsidRPr="0029408A">
              <w:rPr>
                <w:rFonts w:ascii="Times New Roman" w:hAnsi="Times New Roman"/>
                <w:color w:val="000000"/>
                <w:sz w:val="24"/>
                <w:szCs w:val="24"/>
                <w:lang w:val="en-GB"/>
              </w:rPr>
              <w:t>It reflects the amount in row 34 classified as debt in accordance with applicable accounting standards.</w:t>
            </w:r>
          </w:p>
        </w:tc>
      </w:tr>
      <w:tr w:rsidR="00074C65" w:rsidRPr="0029408A" w14:paraId="6CB403E5" w14:textId="77777777" w:rsidTr="0029408A">
        <w:tc>
          <w:tcPr>
            <w:tcW w:w="704" w:type="dxa"/>
            <w:shd w:val="clear" w:color="auto" w:fill="auto"/>
          </w:tcPr>
          <w:p w14:paraId="399A5F9C" w14:textId="77777777" w:rsidR="008E08C4" w:rsidRPr="0029408A" w:rsidRDefault="008E08C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7252A7DB" w14:textId="77777777" w:rsidR="008E08C4" w:rsidRPr="0029408A" w:rsidRDefault="00580530" w:rsidP="0029408A">
            <w:pPr>
              <w:jc w:val="both"/>
              <w:rPr>
                <w:rFonts w:ascii="Times New Roman" w:eastAsia="Arial Unicode MS" w:hAnsi="Times New Roman"/>
                <w:b/>
                <w:color w:val="000000"/>
                <w:sz w:val="24"/>
                <w:szCs w:val="24"/>
                <w:lang w:val="en-GB"/>
              </w:rPr>
            </w:pPr>
            <w:r w:rsidRPr="0029408A">
              <w:rPr>
                <w:rFonts w:ascii="Times New Roman" w:eastAsia="Arial Unicode MS" w:hAnsi="Times New Roman"/>
                <w:color w:val="000000"/>
                <w:sz w:val="24"/>
                <w:szCs w:val="24"/>
                <w:lang w:val="en-GB"/>
              </w:rPr>
              <w:t>Eligible Common Equity Tier 1 capital</w:t>
            </w:r>
            <w:r w:rsidRPr="0029408A">
              <w:rPr>
                <w:rFonts w:ascii="Times New Roman" w:hAnsi="Times New Roman"/>
                <w:b/>
                <w:color w:val="000000"/>
                <w:sz w:val="24"/>
                <w:szCs w:val="24"/>
                <w:lang w:val="en-GB"/>
              </w:rPr>
              <w:t xml:space="preserve"> </w:t>
            </w:r>
            <w:r w:rsidRPr="0029408A">
              <w:rPr>
                <w:rFonts w:ascii="Times New Roman" w:eastAsia="Arial Unicode MS" w:hAnsi="Times New Roman"/>
                <w:color w:val="000000"/>
                <w:sz w:val="24"/>
                <w:szCs w:val="24"/>
                <w:lang w:val="en-GB"/>
              </w:rPr>
              <w:t>included in consolidated Additional Equity Tier 1 capital</w:t>
            </w:r>
            <w:r w:rsidRPr="0029408A">
              <w:rPr>
                <w:rFonts w:ascii="Times New Roman" w:eastAsia="Arial Unicode MS" w:hAnsi="Times New Roman"/>
                <w:b/>
                <w:color w:val="000000"/>
                <w:sz w:val="24"/>
                <w:szCs w:val="24"/>
                <w:lang w:val="en-GB"/>
              </w:rPr>
              <w:t xml:space="preserve"> </w:t>
            </w:r>
            <w:r w:rsidRPr="0029408A">
              <w:rPr>
                <w:rFonts w:ascii="Times New Roman" w:eastAsia="Arial Unicode MS" w:hAnsi="Times New Roman"/>
                <w:color w:val="000000"/>
                <w:sz w:val="24"/>
                <w:szCs w:val="24"/>
                <w:lang w:val="en-GB"/>
              </w:rPr>
              <w:t>(including minority interests not included in row 4) issued by subsidiaries and held by third parties</w:t>
            </w:r>
          </w:p>
        </w:tc>
        <w:tc>
          <w:tcPr>
            <w:tcW w:w="1276" w:type="dxa"/>
            <w:shd w:val="clear" w:color="auto" w:fill="auto"/>
          </w:tcPr>
          <w:p w14:paraId="67FE61A2" w14:textId="77777777" w:rsidR="008E08C4" w:rsidRPr="0029408A" w:rsidRDefault="008E08C4" w:rsidP="008E08C4">
            <w:pPr>
              <w:rPr>
                <w:rFonts w:ascii="Times New Roman" w:hAnsi="Times New Roman"/>
                <w:color w:val="000000"/>
                <w:sz w:val="24"/>
                <w:szCs w:val="24"/>
                <w:lang w:val="en-GB"/>
              </w:rPr>
            </w:pPr>
          </w:p>
        </w:tc>
        <w:tc>
          <w:tcPr>
            <w:tcW w:w="2694" w:type="dxa"/>
            <w:shd w:val="clear" w:color="auto" w:fill="auto"/>
          </w:tcPr>
          <w:p w14:paraId="24F48568" w14:textId="77777777" w:rsidR="008E08C4" w:rsidRPr="0029408A" w:rsidRDefault="00F6196F" w:rsidP="008E08C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Regulation 109/2018</w:t>
            </w:r>
          </w:p>
        </w:tc>
        <w:tc>
          <w:tcPr>
            <w:tcW w:w="6100" w:type="dxa"/>
            <w:shd w:val="clear" w:color="auto" w:fill="auto"/>
          </w:tcPr>
          <w:p w14:paraId="53AE9C6E" w14:textId="77777777" w:rsidR="008E08C4" w:rsidRPr="0029408A" w:rsidRDefault="00F6196F" w:rsidP="00C87B1B">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eligible </w:t>
            </w:r>
            <w:r w:rsidR="00865814" w:rsidRPr="0029408A">
              <w:rPr>
                <w:rFonts w:ascii="Times New Roman" w:eastAsia="Arial Unicode MS" w:hAnsi="Times New Roman"/>
                <w:color w:val="000000"/>
                <w:sz w:val="24"/>
                <w:szCs w:val="24"/>
                <w:lang w:val="en-GB"/>
              </w:rPr>
              <w:t>Common Equity Tier 1 capital</w:t>
            </w:r>
            <w:r w:rsidR="00865814" w:rsidRPr="0029408A">
              <w:rPr>
                <w:rFonts w:ascii="Times New Roman" w:hAnsi="Times New Roman"/>
                <w:b/>
                <w:color w:val="000000"/>
                <w:sz w:val="24"/>
                <w:szCs w:val="24"/>
                <w:lang w:val="en-GB"/>
              </w:rPr>
              <w:t xml:space="preserve"> </w:t>
            </w:r>
            <w:r w:rsidRPr="0029408A">
              <w:rPr>
                <w:rFonts w:ascii="Times New Roman" w:hAnsi="Times New Roman"/>
                <w:color w:val="000000"/>
                <w:sz w:val="24"/>
                <w:szCs w:val="24"/>
                <w:lang w:val="en-GB"/>
              </w:rPr>
              <w:t xml:space="preserve">included in </w:t>
            </w:r>
            <w:r w:rsidR="00865814" w:rsidRPr="0029408A">
              <w:rPr>
                <w:rFonts w:ascii="Times New Roman" w:eastAsia="Arial Unicode MS" w:hAnsi="Times New Roman"/>
                <w:color w:val="000000"/>
                <w:sz w:val="24"/>
                <w:szCs w:val="24"/>
                <w:lang w:val="en-GB"/>
              </w:rPr>
              <w:t>consolidated Additional Equity Tier 1 capital</w:t>
            </w:r>
            <w:r w:rsidR="00865814" w:rsidRPr="0029408A">
              <w:rPr>
                <w:rFonts w:ascii="Times New Roman" w:hAnsi="Times New Roman"/>
                <w:color w:val="000000"/>
                <w:sz w:val="24"/>
                <w:szCs w:val="24"/>
                <w:lang w:val="en-GB"/>
              </w:rPr>
              <w:t xml:space="preserve"> </w:t>
            </w:r>
            <w:r w:rsidRPr="0029408A">
              <w:rPr>
                <w:rFonts w:ascii="Times New Roman" w:hAnsi="Times New Roman"/>
                <w:color w:val="000000"/>
                <w:sz w:val="24"/>
                <w:szCs w:val="24"/>
                <w:lang w:val="en-GB"/>
              </w:rPr>
              <w:t>(including minority interests not included in row 4) issued by subsidiaries and held by third parties, as provided for in Regulation 109/2018.</w:t>
            </w:r>
          </w:p>
        </w:tc>
      </w:tr>
      <w:tr w:rsidR="00865814" w:rsidRPr="0029408A" w14:paraId="36724C1C" w14:textId="77777777" w:rsidTr="0029408A">
        <w:tc>
          <w:tcPr>
            <w:tcW w:w="704" w:type="dxa"/>
            <w:shd w:val="clear" w:color="auto" w:fill="auto"/>
          </w:tcPr>
          <w:p w14:paraId="51066386"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7D24E4EA" w14:textId="77777777" w:rsidR="00865814" w:rsidRPr="0029408A" w:rsidRDefault="000B60BF" w:rsidP="0029408A">
            <w:pPr>
              <w:jc w:val="both"/>
              <w:rPr>
                <w:rFonts w:ascii="Times New Roman" w:eastAsia="Arial Unicode MS" w:hAnsi="Times New Roman"/>
                <w:b/>
                <w:color w:val="000000"/>
                <w:sz w:val="24"/>
                <w:szCs w:val="24"/>
                <w:lang w:val="en-GB"/>
              </w:rPr>
            </w:pPr>
            <w:r w:rsidRPr="0029408A">
              <w:rPr>
                <w:rFonts w:ascii="Times New Roman" w:eastAsia="Arial Unicode MS" w:hAnsi="Times New Roman"/>
                <w:b/>
                <w:color w:val="000000"/>
                <w:sz w:val="24"/>
                <w:szCs w:val="24"/>
                <w:lang w:val="en-GB"/>
              </w:rPr>
              <w:t>Additional Equity Tier 1 capital</w:t>
            </w:r>
            <w:r w:rsidRPr="0029408A">
              <w:rPr>
                <w:rFonts w:ascii="Times New Roman" w:hAnsi="Times New Roman"/>
                <w:color w:val="000000"/>
                <w:sz w:val="24"/>
                <w:szCs w:val="24"/>
                <w:lang w:val="en-GB"/>
              </w:rPr>
              <w:t xml:space="preserve"> </w:t>
            </w:r>
            <w:r w:rsidRPr="0029408A">
              <w:rPr>
                <w:rFonts w:ascii="Times New Roman" w:eastAsia="Arial Unicode MS" w:hAnsi="Times New Roman"/>
                <w:b/>
                <w:color w:val="000000"/>
                <w:sz w:val="24"/>
                <w:szCs w:val="24"/>
                <w:lang w:val="en-GB"/>
              </w:rPr>
              <w:t>(AT1) before regulatory adjustments</w:t>
            </w:r>
          </w:p>
        </w:tc>
        <w:tc>
          <w:tcPr>
            <w:tcW w:w="1276" w:type="dxa"/>
            <w:shd w:val="clear" w:color="auto" w:fill="auto"/>
          </w:tcPr>
          <w:p w14:paraId="0B6EF207"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3A47A453" w14:textId="77777777" w:rsidR="00865814" w:rsidRPr="0029408A" w:rsidRDefault="00B21EE8"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The s</w:t>
            </w:r>
            <w:r w:rsidR="00865814" w:rsidRPr="0029408A">
              <w:rPr>
                <w:rFonts w:ascii="Times New Roman" w:hAnsi="Times New Roman"/>
                <w:color w:val="000000"/>
                <w:sz w:val="24"/>
                <w:szCs w:val="24"/>
                <w:lang w:val="en-GB"/>
              </w:rPr>
              <w:t>um of rows 31 and 34</w:t>
            </w:r>
          </w:p>
        </w:tc>
        <w:tc>
          <w:tcPr>
            <w:tcW w:w="6100" w:type="dxa"/>
            <w:shd w:val="clear" w:color="auto" w:fill="auto"/>
          </w:tcPr>
          <w:p w14:paraId="6977DD51" w14:textId="77777777" w:rsidR="00865814" w:rsidRPr="0029408A" w:rsidRDefault="00B21EE8"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The s</w:t>
            </w:r>
            <w:r w:rsidR="00865814" w:rsidRPr="0029408A">
              <w:rPr>
                <w:rFonts w:ascii="Times New Roman" w:hAnsi="Times New Roman"/>
                <w:color w:val="000000"/>
                <w:sz w:val="24"/>
                <w:szCs w:val="24"/>
                <w:lang w:val="en-GB"/>
              </w:rPr>
              <w:t>um of rows 31 and 34</w:t>
            </w:r>
          </w:p>
        </w:tc>
      </w:tr>
      <w:tr w:rsidR="00865814" w:rsidRPr="0029408A" w14:paraId="4D9E2FBC" w14:textId="77777777" w:rsidTr="0029408A">
        <w:tc>
          <w:tcPr>
            <w:tcW w:w="15027" w:type="dxa"/>
            <w:gridSpan w:val="5"/>
            <w:shd w:val="clear" w:color="auto" w:fill="auto"/>
          </w:tcPr>
          <w:p w14:paraId="59DEA649" w14:textId="77777777" w:rsidR="00865814" w:rsidRPr="0029408A" w:rsidRDefault="00865814" w:rsidP="00865814">
            <w:pPr>
              <w:rPr>
                <w:rFonts w:ascii="Times New Roman" w:hAnsi="Times New Roman"/>
                <w:b/>
                <w:color w:val="000000"/>
                <w:sz w:val="24"/>
                <w:szCs w:val="24"/>
                <w:lang w:val="en-GB"/>
              </w:rPr>
            </w:pPr>
            <w:r w:rsidRPr="0029408A">
              <w:rPr>
                <w:rFonts w:ascii="Times New Roman" w:eastAsia="Arial Unicode MS" w:hAnsi="Times New Roman"/>
                <w:b/>
                <w:color w:val="000000"/>
                <w:sz w:val="24"/>
                <w:szCs w:val="24"/>
                <w:lang w:val="en-GB"/>
              </w:rPr>
              <w:t>Additional Equity Tier 1 capital</w:t>
            </w:r>
            <w:r w:rsidRPr="0029408A">
              <w:rPr>
                <w:rFonts w:ascii="Times New Roman" w:hAnsi="Times New Roman"/>
                <w:color w:val="000000"/>
                <w:sz w:val="24"/>
                <w:szCs w:val="24"/>
                <w:lang w:val="en-GB"/>
              </w:rPr>
              <w:t xml:space="preserve"> </w:t>
            </w:r>
            <w:r w:rsidRPr="0029408A">
              <w:rPr>
                <w:rFonts w:ascii="Times New Roman" w:eastAsia="Arial Unicode MS" w:hAnsi="Times New Roman"/>
                <w:b/>
                <w:color w:val="000000"/>
                <w:sz w:val="24"/>
                <w:szCs w:val="24"/>
                <w:lang w:val="en-GB"/>
              </w:rPr>
              <w:t>(AT1): regulatory adjustments</w:t>
            </w:r>
          </w:p>
        </w:tc>
      </w:tr>
      <w:tr w:rsidR="00865814" w:rsidRPr="0029408A" w14:paraId="66875109" w14:textId="77777777" w:rsidTr="0029408A">
        <w:tc>
          <w:tcPr>
            <w:tcW w:w="704" w:type="dxa"/>
            <w:shd w:val="clear" w:color="auto" w:fill="auto"/>
          </w:tcPr>
          <w:p w14:paraId="489A2ABE"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5D66A6FE" w14:textId="77777777" w:rsidR="00865814" w:rsidRPr="0029408A" w:rsidRDefault="000B60BF"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 xml:space="preserve">Direct and indirect holdings of the bank of Additional Equity Tier 1 capital instruments </w:t>
            </w:r>
            <w:r w:rsidRPr="0029408A">
              <w:rPr>
                <w:rFonts w:ascii="Times New Roman" w:eastAsia="Arial Unicode MS" w:hAnsi="Times New Roman"/>
                <w:i/>
                <w:color w:val="000000"/>
                <w:sz w:val="24"/>
                <w:szCs w:val="24"/>
                <w:lang w:val="en-GB"/>
              </w:rPr>
              <w:t>(negative value)</w:t>
            </w:r>
          </w:p>
        </w:tc>
        <w:tc>
          <w:tcPr>
            <w:tcW w:w="1276" w:type="dxa"/>
            <w:shd w:val="clear" w:color="auto" w:fill="auto"/>
          </w:tcPr>
          <w:p w14:paraId="462154A9"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07B9B0F0" w14:textId="77777777" w:rsidR="00865814" w:rsidRPr="0029408A" w:rsidRDefault="00EF25A7"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 70 subp.2), p.87 subp.1) and p.88 of Regulation 109/2018</w:t>
            </w:r>
          </w:p>
        </w:tc>
        <w:tc>
          <w:tcPr>
            <w:tcW w:w="6100" w:type="dxa"/>
            <w:shd w:val="clear" w:color="auto" w:fill="auto"/>
          </w:tcPr>
          <w:p w14:paraId="79C59CFC" w14:textId="77777777" w:rsidR="00865814" w:rsidRPr="0029408A" w:rsidRDefault="0085062E"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direct and indirect holdings </w:t>
            </w:r>
            <w:r w:rsidRPr="0029408A">
              <w:rPr>
                <w:rFonts w:ascii="Times New Roman" w:eastAsia="Arial Unicode MS" w:hAnsi="Times New Roman"/>
                <w:color w:val="000000"/>
                <w:sz w:val="24"/>
                <w:szCs w:val="24"/>
                <w:lang w:val="en-GB"/>
              </w:rPr>
              <w:t>of the bank of Additional Equity Tier 1 capital instruments</w:t>
            </w:r>
            <w:r w:rsidRPr="0029408A">
              <w:rPr>
                <w:rFonts w:ascii="Times New Roman" w:hAnsi="Times New Roman"/>
                <w:color w:val="000000"/>
                <w:sz w:val="24"/>
                <w:szCs w:val="24"/>
                <w:lang w:val="en-GB"/>
              </w:rPr>
              <w:t>, as described in p. 70 subp.2), p.87 subp.1) and p.88 of Regulation 109/2018.</w:t>
            </w:r>
          </w:p>
          <w:p w14:paraId="2D24596C" w14:textId="77777777" w:rsidR="00865814" w:rsidRPr="0029408A" w:rsidRDefault="0085062E" w:rsidP="00865814">
            <w:pPr>
              <w:rPr>
                <w:rFonts w:ascii="Times New Roman" w:hAnsi="Times New Roman"/>
                <w:color w:val="000000"/>
                <w:sz w:val="24"/>
                <w:szCs w:val="24"/>
                <w:lang w:val="en-GB"/>
              </w:rPr>
            </w:pPr>
            <w:r w:rsidRPr="0029408A">
              <w:rPr>
                <w:rFonts w:ascii="Times New Roman" w:eastAsia="Arial Unicode MS" w:hAnsi="Times New Roman"/>
                <w:i/>
                <w:color w:val="000000"/>
                <w:sz w:val="24"/>
                <w:szCs w:val="24"/>
                <w:lang w:val="en-GB"/>
              </w:rPr>
              <w:t>(negative value)</w:t>
            </w:r>
          </w:p>
        </w:tc>
      </w:tr>
      <w:tr w:rsidR="00865814" w:rsidRPr="0029408A" w14:paraId="1F8C10B7" w14:textId="77777777" w:rsidTr="0029408A">
        <w:tc>
          <w:tcPr>
            <w:tcW w:w="704" w:type="dxa"/>
            <w:shd w:val="clear" w:color="auto" w:fill="auto"/>
          </w:tcPr>
          <w:p w14:paraId="703CA713"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61E277D1" w14:textId="77777777" w:rsidR="00865814" w:rsidRPr="0029408A" w:rsidRDefault="00FE7848"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 xml:space="preserve">Direct, indirect and synthetic holdings of </w:t>
            </w:r>
            <w:r w:rsidR="0077312B" w:rsidRPr="0029408A">
              <w:rPr>
                <w:rFonts w:ascii="Times New Roman" w:eastAsia="Arial Unicode MS" w:hAnsi="Times New Roman"/>
                <w:color w:val="000000"/>
                <w:sz w:val="24"/>
                <w:szCs w:val="24"/>
                <w:lang w:val="en-GB"/>
              </w:rPr>
              <w:t xml:space="preserve">Additional Equity Tier 1 capital instruments </w:t>
            </w:r>
            <w:r w:rsidRPr="0029408A">
              <w:rPr>
                <w:rFonts w:ascii="Times New Roman" w:eastAsia="Arial Unicode MS" w:hAnsi="Times New Roman"/>
                <w:color w:val="000000"/>
                <w:sz w:val="24"/>
                <w:szCs w:val="24"/>
                <w:lang w:val="en-GB"/>
              </w:rPr>
              <w:t xml:space="preserve">of financial sector entities, if these entities and the institution hold mutual participations intended to </w:t>
            </w:r>
            <w:r w:rsidRPr="0029408A">
              <w:rPr>
                <w:rFonts w:ascii="Times New Roman" w:eastAsia="Arial Unicode MS" w:hAnsi="Times New Roman"/>
                <w:color w:val="000000"/>
                <w:sz w:val="24"/>
                <w:szCs w:val="24"/>
                <w:lang w:val="en-GB"/>
              </w:rPr>
              <w:lastRenderedPageBreak/>
              <w:t xml:space="preserve">artificially increase the institution's own funds </w:t>
            </w:r>
            <w:r w:rsidRPr="0029408A">
              <w:rPr>
                <w:rFonts w:ascii="Times New Roman" w:eastAsia="Arial Unicode MS" w:hAnsi="Times New Roman"/>
                <w:i/>
                <w:color w:val="000000"/>
                <w:sz w:val="24"/>
                <w:szCs w:val="24"/>
                <w:lang w:val="en-GB"/>
              </w:rPr>
              <w:t>(negative value)</w:t>
            </w:r>
          </w:p>
        </w:tc>
        <w:tc>
          <w:tcPr>
            <w:tcW w:w="1276" w:type="dxa"/>
            <w:shd w:val="clear" w:color="auto" w:fill="auto"/>
          </w:tcPr>
          <w:p w14:paraId="481B66C4"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5E423EE0" w14:textId="77777777" w:rsidR="00865814" w:rsidRPr="0029408A" w:rsidRDefault="002B6A4B"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 70 subp.3) and p. 89 of Regulation 109/2018</w:t>
            </w:r>
          </w:p>
        </w:tc>
        <w:tc>
          <w:tcPr>
            <w:tcW w:w="6100" w:type="dxa"/>
            <w:shd w:val="clear" w:color="auto" w:fill="auto"/>
          </w:tcPr>
          <w:p w14:paraId="2E72F0C4" w14:textId="77777777" w:rsidR="00F01EAE" w:rsidRPr="0029408A" w:rsidRDefault="00F01EAE"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direct, indirect and synthetic holdings of </w:t>
            </w:r>
            <w:r w:rsidRPr="0029408A">
              <w:rPr>
                <w:rFonts w:ascii="Times New Roman" w:eastAsia="Arial Unicode MS" w:hAnsi="Times New Roman"/>
                <w:color w:val="000000"/>
                <w:sz w:val="24"/>
                <w:szCs w:val="24"/>
                <w:lang w:val="en-GB"/>
              </w:rPr>
              <w:t>Additional Equity Tier 1 capital instruments</w:t>
            </w:r>
            <w:r w:rsidRPr="0029408A">
              <w:rPr>
                <w:rFonts w:ascii="Times New Roman" w:hAnsi="Times New Roman"/>
                <w:color w:val="000000"/>
                <w:sz w:val="24"/>
                <w:szCs w:val="24"/>
                <w:lang w:val="en-GB"/>
              </w:rPr>
              <w:t xml:space="preserve"> of financial sector entities, if these entities and the institution hold mutual participations intended to artificially increase the </w:t>
            </w:r>
            <w:r w:rsidRPr="0029408A">
              <w:rPr>
                <w:rFonts w:ascii="Times New Roman" w:hAnsi="Times New Roman"/>
                <w:color w:val="000000"/>
                <w:sz w:val="24"/>
                <w:szCs w:val="24"/>
                <w:lang w:val="en-GB"/>
              </w:rPr>
              <w:lastRenderedPageBreak/>
              <w:t>institution's own funds (negative value), as provided in p. 70 subp.3) and p. 89 of Regulation 109/2018.</w:t>
            </w:r>
          </w:p>
          <w:p w14:paraId="0A8B5D6F" w14:textId="77777777" w:rsidR="00865814" w:rsidRPr="0029408A" w:rsidRDefault="00F01EAE" w:rsidP="00865814">
            <w:pPr>
              <w:rPr>
                <w:rFonts w:ascii="Times New Roman" w:hAnsi="Times New Roman"/>
                <w:i/>
                <w:color w:val="000000"/>
                <w:sz w:val="24"/>
                <w:szCs w:val="24"/>
                <w:lang w:val="en-GB"/>
              </w:rPr>
            </w:pPr>
            <w:r w:rsidRPr="0029408A">
              <w:rPr>
                <w:rFonts w:ascii="Times New Roman" w:hAnsi="Times New Roman"/>
                <w:i/>
                <w:color w:val="000000"/>
                <w:sz w:val="24"/>
                <w:szCs w:val="24"/>
                <w:lang w:val="en-GB"/>
              </w:rPr>
              <w:t>(negative value</w:t>
            </w:r>
            <w:r w:rsidR="00865814" w:rsidRPr="0029408A">
              <w:rPr>
                <w:rFonts w:ascii="Times New Roman" w:eastAsia="Arial Unicode MS" w:hAnsi="Times New Roman"/>
                <w:i/>
                <w:color w:val="000000"/>
                <w:sz w:val="24"/>
                <w:szCs w:val="24"/>
                <w:lang w:val="en-GB"/>
              </w:rPr>
              <w:t>)</w:t>
            </w:r>
          </w:p>
        </w:tc>
      </w:tr>
      <w:tr w:rsidR="00865814" w:rsidRPr="0029408A" w14:paraId="38336392" w14:textId="77777777" w:rsidTr="0029408A">
        <w:tc>
          <w:tcPr>
            <w:tcW w:w="704" w:type="dxa"/>
            <w:shd w:val="clear" w:color="auto" w:fill="auto"/>
          </w:tcPr>
          <w:p w14:paraId="5B6A0875"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0DD35164" w14:textId="77777777" w:rsidR="00865814" w:rsidRPr="0029408A" w:rsidRDefault="00EE6553"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 xml:space="preserve">Direct, indirect and synthetic holdings of Additional Equity Tier 1 capital instruments of financial sector entities in which the bank does not have a significant investment (value above the 10% threshold and excluding eligible short positions) </w:t>
            </w:r>
            <w:r w:rsidRPr="0029408A">
              <w:rPr>
                <w:rFonts w:ascii="Times New Roman" w:eastAsia="Arial Unicode MS" w:hAnsi="Times New Roman"/>
                <w:i/>
                <w:color w:val="000000"/>
                <w:sz w:val="24"/>
                <w:szCs w:val="24"/>
                <w:lang w:val="en-GB"/>
              </w:rPr>
              <w:t>(negative value)</w:t>
            </w:r>
          </w:p>
        </w:tc>
        <w:tc>
          <w:tcPr>
            <w:tcW w:w="1276" w:type="dxa"/>
            <w:shd w:val="clear" w:color="auto" w:fill="auto"/>
          </w:tcPr>
          <w:p w14:paraId="7EE6177B"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5C1FC5B0" w14:textId="77777777" w:rsidR="00865814" w:rsidRPr="0029408A" w:rsidRDefault="002B6A4B"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 70 subp.3), p. 90 and p.91-95 of Regulation 109/2018</w:t>
            </w:r>
          </w:p>
        </w:tc>
        <w:tc>
          <w:tcPr>
            <w:tcW w:w="6100" w:type="dxa"/>
            <w:shd w:val="clear" w:color="auto" w:fill="auto"/>
          </w:tcPr>
          <w:p w14:paraId="49EFE274" w14:textId="77777777" w:rsidR="00EE6553" w:rsidRPr="0029408A" w:rsidRDefault="00EE6553" w:rsidP="0029408A">
            <w:pPr>
              <w:spacing w:after="0" w:line="240" w:lineRule="auto"/>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direct, indirect and synthetic holdings of </w:t>
            </w:r>
            <w:r w:rsidR="00EB16EA" w:rsidRPr="0029408A">
              <w:rPr>
                <w:rFonts w:ascii="Times New Roman" w:eastAsia="Arial Unicode MS" w:hAnsi="Times New Roman"/>
                <w:color w:val="000000"/>
                <w:sz w:val="24"/>
                <w:szCs w:val="24"/>
                <w:lang w:val="en-GB"/>
              </w:rPr>
              <w:t>Additional Equity Tier 1 capital instruments</w:t>
            </w:r>
            <w:r w:rsidR="00EB16EA" w:rsidRPr="0029408A">
              <w:rPr>
                <w:rFonts w:ascii="Times New Roman" w:hAnsi="Times New Roman"/>
                <w:color w:val="000000"/>
                <w:sz w:val="24"/>
                <w:szCs w:val="24"/>
                <w:lang w:val="en-GB"/>
              </w:rPr>
              <w:t xml:space="preserve"> </w:t>
            </w:r>
            <w:r w:rsidRPr="0029408A">
              <w:rPr>
                <w:rFonts w:ascii="Times New Roman" w:hAnsi="Times New Roman"/>
                <w:color w:val="000000"/>
                <w:sz w:val="24"/>
                <w:szCs w:val="24"/>
                <w:lang w:val="en-GB"/>
              </w:rPr>
              <w:t>of financial sector entities in which the bank does not have a significant investment (value above the 10% threshold and excluding eligible short positions), as provided in p. 70 subp.3), p.90 and p.91-95 of Regulation 109/2018.</w:t>
            </w:r>
          </w:p>
          <w:p w14:paraId="12CF5D1A" w14:textId="77777777" w:rsidR="00865814" w:rsidRPr="0029408A" w:rsidRDefault="00EE6553" w:rsidP="00EE6553">
            <w:pPr>
              <w:rPr>
                <w:rFonts w:ascii="Times New Roman" w:hAnsi="Times New Roman"/>
                <w:i/>
                <w:color w:val="000000"/>
                <w:sz w:val="24"/>
                <w:szCs w:val="24"/>
                <w:lang w:val="en-GB"/>
              </w:rPr>
            </w:pPr>
            <w:r w:rsidRPr="0029408A">
              <w:rPr>
                <w:rFonts w:ascii="Times New Roman" w:hAnsi="Times New Roman"/>
                <w:i/>
                <w:color w:val="000000"/>
                <w:sz w:val="24"/>
                <w:szCs w:val="24"/>
                <w:lang w:val="en-GB"/>
              </w:rPr>
              <w:t>(negative value)</w:t>
            </w:r>
          </w:p>
        </w:tc>
      </w:tr>
      <w:tr w:rsidR="00865814" w:rsidRPr="0029408A" w14:paraId="6BCBDBB0" w14:textId="77777777" w:rsidTr="0029408A">
        <w:tc>
          <w:tcPr>
            <w:tcW w:w="704" w:type="dxa"/>
            <w:shd w:val="clear" w:color="auto" w:fill="auto"/>
          </w:tcPr>
          <w:p w14:paraId="267FA990"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0A98C4C5" w14:textId="77777777" w:rsidR="00865814" w:rsidRPr="0029408A" w:rsidRDefault="00B60755"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Direct, indirect and synthetic holdings of the institution of Additional Equity Tier 1 capital instruments of financial sector entities in which the institution holds a significant investment (excluding eligible short positions) (negative value)</w:t>
            </w:r>
          </w:p>
        </w:tc>
        <w:tc>
          <w:tcPr>
            <w:tcW w:w="1276" w:type="dxa"/>
            <w:shd w:val="clear" w:color="auto" w:fill="auto"/>
          </w:tcPr>
          <w:p w14:paraId="21C169AC"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13FFB67E" w14:textId="77777777" w:rsidR="00865814" w:rsidRPr="0029408A" w:rsidRDefault="0082529D"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 70 subp.3), p. 90 and p.91-95 of Regulation 109/2018</w:t>
            </w:r>
          </w:p>
        </w:tc>
        <w:tc>
          <w:tcPr>
            <w:tcW w:w="6100" w:type="dxa"/>
            <w:shd w:val="clear" w:color="auto" w:fill="auto"/>
          </w:tcPr>
          <w:p w14:paraId="5408AC6E" w14:textId="77777777" w:rsidR="00865814" w:rsidRPr="0029408A" w:rsidRDefault="00E4773C"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direct, indirect and synthetic holdings of the institution of </w:t>
            </w:r>
            <w:r w:rsidRPr="0029408A">
              <w:rPr>
                <w:rFonts w:ascii="Times New Roman" w:eastAsia="Arial Unicode MS" w:hAnsi="Times New Roman"/>
                <w:color w:val="000000"/>
                <w:sz w:val="24"/>
                <w:szCs w:val="24"/>
                <w:lang w:val="en-GB"/>
              </w:rPr>
              <w:t>Additional Equity Tier 1 capital instruments</w:t>
            </w:r>
            <w:r w:rsidRPr="0029408A">
              <w:rPr>
                <w:rFonts w:ascii="Times New Roman" w:hAnsi="Times New Roman"/>
                <w:color w:val="000000"/>
                <w:sz w:val="24"/>
                <w:szCs w:val="24"/>
                <w:lang w:val="en-GB"/>
              </w:rPr>
              <w:t xml:space="preserve"> of financial sector entities in which the institution holds a significant investment (excluding eligible short positions), as provided in p. 70 subp.3</w:t>
            </w:r>
            <w:proofErr w:type="gramStart"/>
            <w:r w:rsidRPr="0029408A">
              <w:rPr>
                <w:rFonts w:ascii="Times New Roman" w:hAnsi="Times New Roman"/>
                <w:color w:val="000000"/>
                <w:sz w:val="24"/>
                <w:szCs w:val="24"/>
                <w:lang w:val="en-GB"/>
              </w:rPr>
              <w:t>) ,</w:t>
            </w:r>
            <w:proofErr w:type="gramEnd"/>
            <w:r w:rsidRPr="0029408A">
              <w:rPr>
                <w:rFonts w:ascii="Times New Roman" w:hAnsi="Times New Roman"/>
                <w:color w:val="000000"/>
                <w:sz w:val="24"/>
                <w:szCs w:val="24"/>
                <w:lang w:val="en-GB"/>
              </w:rPr>
              <w:t xml:space="preserve"> p. 90 and p.91-95 of Regulation 109/2018.</w:t>
            </w:r>
          </w:p>
        </w:tc>
      </w:tr>
      <w:tr w:rsidR="00865814" w:rsidRPr="0029408A" w14:paraId="2CA6D865" w14:textId="77777777" w:rsidTr="0029408A">
        <w:tc>
          <w:tcPr>
            <w:tcW w:w="704" w:type="dxa"/>
            <w:shd w:val="clear" w:color="auto" w:fill="auto"/>
          </w:tcPr>
          <w:p w14:paraId="06B7E614"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5802398C" w14:textId="77777777" w:rsidR="00865814" w:rsidRPr="0029408A" w:rsidRDefault="00BB31A0"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 xml:space="preserve">Eligible deductions from Equity Tier 2 capital exceeding the bank's Equity Tier 2 capital </w:t>
            </w:r>
            <w:r w:rsidRPr="0029408A">
              <w:rPr>
                <w:rFonts w:ascii="Times New Roman" w:eastAsia="Arial Unicode MS" w:hAnsi="Times New Roman"/>
                <w:i/>
                <w:color w:val="000000"/>
                <w:sz w:val="24"/>
                <w:szCs w:val="24"/>
                <w:lang w:val="en-GB"/>
              </w:rPr>
              <w:t>(negative value)</w:t>
            </w:r>
          </w:p>
        </w:tc>
        <w:tc>
          <w:tcPr>
            <w:tcW w:w="1276" w:type="dxa"/>
            <w:shd w:val="clear" w:color="auto" w:fill="auto"/>
          </w:tcPr>
          <w:p w14:paraId="6866971C"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42BFF28D" w14:textId="77777777" w:rsidR="00865814" w:rsidRPr="0029408A" w:rsidRDefault="004C08AA"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 87 subp.5) of Regulation 109/2018</w:t>
            </w:r>
          </w:p>
        </w:tc>
        <w:tc>
          <w:tcPr>
            <w:tcW w:w="6100" w:type="dxa"/>
            <w:shd w:val="clear" w:color="auto" w:fill="auto"/>
          </w:tcPr>
          <w:p w14:paraId="58C8DBD8" w14:textId="77777777" w:rsidR="00865814" w:rsidRPr="0029408A" w:rsidRDefault="004C08AA"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eligible deductions from </w:t>
            </w:r>
            <w:r w:rsidRPr="0029408A">
              <w:rPr>
                <w:rFonts w:ascii="Times New Roman" w:eastAsia="Arial Unicode MS" w:hAnsi="Times New Roman"/>
                <w:color w:val="000000"/>
                <w:sz w:val="24"/>
                <w:szCs w:val="24"/>
                <w:lang w:val="en-GB"/>
              </w:rPr>
              <w:t>Equity Tier 2 capital</w:t>
            </w:r>
            <w:r w:rsidRPr="0029408A">
              <w:rPr>
                <w:rFonts w:ascii="Times New Roman" w:hAnsi="Times New Roman"/>
                <w:color w:val="000000"/>
                <w:sz w:val="24"/>
                <w:szCs w:val="24"/>
                <w:lang w:val="en-GB"/>
              </w:rPr>
              <w:t xml:space="preserve"> exceeding the bank's </w:t>
            </w:r>
            <w:r w:rsidRPr="0029408A">
              <w:rPr>
                <w:rFonts w:ascii="Times New Roman" w:eastAsia="Arial Unicode MS" w:hAnsi="Times New Roman"/>
                <w:color w:val="000000"/>
                <w:sz w:val="24"/>
                <w:szCs w:val="24"/>
                <w:lang w:val="en-GB"/>
              </w:rPr>
              <w:t>Equity Tier 2 capital</w:t>
            </w:r>
            <w:r w:rsidRPr="0029408A">
              <w:rPr>
                <w:rFonts w:ascii="Times New Roman" w:hAnsi="Times New Roman"/>
                <w:color w:val="000000"/>
                <w:sz w:val="24"/>
                <w:szCs w:val="24"/>
                <w:lang w:val="en-GB"/>
              </w:rPr>
              <w:t>, as provided in p. 87 subp.5) of Regulation 109/2018.</w:t>
            </w:r>
          </w:p>
        </w:tc>
      </w:tr>
      <w:tr w:rsidR="00865814" w:rsidRPr="0029408A" w14:paraId="2895B20D" w14:textId="77777777" w:rsidTr="0029408A">
        <w:tc>
          <w:tcPr>
            <w:tcW w:w="704" w:type="dxa"/>
            <w:shd w:val="clear" w:color="auto" w:fill="auto"/>
          </w:tcPr>
          <w:p w14:paraId="17C855E3"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7B93ABF8" w14:textId="77777777" w:rsidR="00865814" w:rsidRPr="0029408A" w:rsidRDefault="00117F25" w:rsidP="0029408A">
            <w:pPr>
              <w:jc w:val="both"/>
              <w:rPr>
                <w:rFonts w:ascii="Times New Roman" w:eastAsia="Arial Unicode MS" w:hAnsi="Times New Roman"/>
                <w:b/>
                <w:color w:val="000000"/>
                <w:sz w:val="24"/>
                <w:szCs w:val="24"/>
                <w:lang w:val="en-GB"/>
              </w:rPr>
            </w:pPr>
            <w:r w:rsidRPr="0029408A">
              <w:rPr>
                <w:rFonts w:ascii="Times New Roman" w:eastAsia="Arial Unicode MS" w:hAnsi="Times New Roman"/>
                <w:b/>
                <w:color w:val="000000"/>
                <w:sz w:val="24"/>
                <w:szCs w:val="24"/>
                <w:lang w:val="en-GB"/>
              </w:rPr>
              <w:t>Regulatory adjustments to Additional Equity Tier 1 capital (AT1)</w:t>
            </w:r>
          </w:p>
        </w:tc>
        <w:tc>
          <w:tcPr>
            <w:tcW w:w="1276" w:type="dxa"/>
            <w:shd w:val="clear" w:color="auto" w:fill="auto"/>
          </w:tcPr>
          <w:p w14:paraId="6B39465F"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0F4D9F54" w14:textId="77777777" w:rsidR="00865814" w:rsidRPr="0029408A" w:rsidRDefault="00ED4420"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The sum of rows 36 - 40</w:t>
            </w:r>
          </w:p>
        </w:tc>
        <w:tc>
          <w:tcPr>
            <w:tcW w:w="6100" w:type="dxa"/>
            <w:shd w:val="clear" w:color="auto" w:fill="auto"/>
          </w:tcPr>
          <w:p w14:paraId="2FE613E3" w14:textId="77777777" w:rsidR="00865814" w:rsidRPr="0029408A" w:rsidRDefault="00ED4420"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The sum of rows 36 - 40</w:t>
            </w:r>
          </w:p>
        </w:tc>
      </w:tr>
      <w:tr w:rsidR="00865814" w:rsidRPr="0029408A" w14:paraId="6C73C53D" w14:textId="77777777" w:rsidTr="0029408A">
        <w:tc>
          <w:tcPr>
            <w:tcW w:w="704" w:type="dxa"/>
            <w:shd w:val="clear" w:color="auto" w:fill="auto"/>
          </w:tcPr>
          <w:p w14:paraId="11DC543F"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4C98BF37" w14:textId="77777777" w:rsidR="00865814" w:rsidRPr="0029408A" w:rsidRDefault="00786234" w:rsidP="0029408A">
            <w:pPr>
              <w:jc w:val="both"/>
              <w:rPr>
                <w:rFonts w:ascii="Times New Roman" w:eastAsia="Arial Unicode MS" w:hAnsi="Times New Roman"/>
                <w:b/>
                <w:color w:val="000000"/>
                <w:sz w:val="24"/>
                <w:szCs w:val="24"/>
                <w:lang w:val="en-GB"/>
              </w:rPr>
            </w:pPr>
            <w:r w:rsidRPr="0029408A">
              <w:rPr>
                <w:rFonts w:ascii="Times New Roman" w:eastAsia="Arial Unicode MS" w:hAnsi="Times New Roman"/>
                <w:b/>
                <w:color w:val="000000"/>
                <w:sz w:val="24"/>
                <w:szCs w:val="24"/>
                <w:lang w:val="en-GB"/>
              </w:rPr>
              <w:t>Additional Equity Tier 1 capital (AT1)</w:t>
            </w:r>
          </w:p>
        </w:tc>
        <w:tc>
          <w:tcPr>
            <w:tcW w:w="1276" w:type="dxa"/>
            <w:shd w:val="clear" w:color="auto" w:fill="auto"/>
          </w:tcPr>
          <w:p w14:paraId="1AEC8204"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7E448F8B" w14:textId="77777777" w:rsidR="00865814" w:rsidRPr="0029408A" w:rsidRDefault="00B21EE8"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The sum of row 35 minus the sum</w:t>
            </w:r>
            <w:r w:rsidR="00786234" w:rsidRPr="0029408A">
              <w:rPr>
                <w:rFonts w:ascii="Times New Roman" w:hAnsi="Times New Roman"/>
                <w:color w:val="000000"/>
                <w:sz w:val="24"/>
                <w:szCs w:val="24"/>
                <w:lang w:val="en-GB"/>
              </w:rPr>
              <w:t xml:space="preserve"> of row 41</w:t>
            </w:r>
          </w:p>
        </w:tc>
        <w:tc>
          <w:tcPr>
            <w:tcW w:w="6100" w:type="dxa"/>
            <w:shd w:val="clear" w:color="auto" w:fill="auto"/>
          </w:tcPr>
          <w:p w14:paraId="2743BB43" w14:textId="77777777" w:rsidR="00865814" w:rsidRPr="0029408A" w:rsidRDefault="00B21EE8"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The sum of row 35 minus the sum</w:t>
            </w:r>
            <w:r w:rsidR="00786234" w:rsidRPr="0029408A">
              <w:rPr>
                <w:rFonts w:ascii="Times New Roman" w:hAnsi="Times New Roman"/>
                <w:color w:val="000000"/>
                <w:sz w:val="24"/>
                <w:szCs w:val="24"/>
                <w:lang w:val="en-GB"/>
              </w:rPr>
              <w:t xml:space="preserve"> of row 41</w:t>
            </w:r>
          </w:p>
        </w:tc>
      </w:tr>
      <w:tr w:rsidR="00865814" w:rsidRPr="0029408A" w14:paraId="69380E8E" w14:textId="77777777" w:rsidTr="0029408A">
        <w:tc>
          <w:tcPr>
            <w:tcW w:w="704" w:type="dxa"/>
            <w:shd w:val="clear" w:color="auto" w:fill="auto"/>
          </w:tcPr>
          <w:p w14:paraId="3062B570"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55D76254" w14:textId="77777777" w:rsidR="00786234" w:rsidRPr="0029408A" w:rsidRDefault="00786234" w:rsidP="00865814">
            <w:pPr>
              <w:rPr>
                <w:rFonts w:ascii="Times New Roman" w:eastAsia="Arial Unicode MS" w:hAnsi="Times New Roman"/>
                <w:b/>
                <w:color w:val="000000"/>
                <w:sz w:val="24"/>
                <w:szCs w:val="24"/>
                <w:lang w:val="en-GB"/>
              </w:rPr>
            </w:pPr>
            <w:r w:rsidRPr="0029408A">
              <w:rPr>
                <w:rFonts w:ascii="Times New Roman" w:eastAsia="Arial Unicode MS" w:hAnsi="Times New Roman"/>
                <w:b/>
                <w:color w:val="000000"/>
                <w:sz w:val="24"/>
                <w:szCs w:val="24"/>
                <w:lang w:val="en-GB"/>
              </w:rPr>
              <w:t>Equity Tier 1 capital</w:t>
            </w:r>
          </w:p>
          <w:p w14:paraId="42E405C9" w14:textId="77777777" w:rsidR="00865814" w:rsidRPr="0029408A" w:rsidRDefault="00865814" w:rsidP="00865814">
            <w:pPr>
              <w:rPr>
                <w:rFonts w:ascii="Times New Roman" w:eastAsia="Arial Unicode MS" w:hAnsi="Times New Roman"/>
                <w:b/>
                <w:color w:val="000000"/>
                <w:sz w:val="24"/>
                <w:szCs w:val="24"/>
                <w:lang w:val="en-GB"/>
              </w:rPr>
            </w:pPr>
            <w:r w:rsidRPr="0029408A">
              <w:rPr>
                <w:rFonts w:ascii="Times New Roman" w:eastAsia="Arial Unicode MS" w:hAnsi="Times New Roman"/>
                <w:b/>
                <w:color w:val="000000"/>
                <w:sz w:val="24"/>
                <w:szCs w:val="24"/>
                <w:lang w:val="en-GB"/>
              </w:rPr>
              <w:t xml:space="preserve"> (T1=CET1+AT1)</w:t>
            </w:r>
          </w:p>
        </w:tc>
        <w:tc>
          <w:tcPr>
            <w:tcW w:w="1276" w:type="dxa"/>
            <w:shd w:val="clear" w:color="auto" w:fill="auto"/>
          </w:tcPr>
          <w:p w14:paraId="40BEBE9F"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70A3A1FD" w14:textId="77777777" w:rsidR="00865814" w:rsidRPr="0029408A" w:rsidRDefault="00B21EE8"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The s</w:t>
            </w:r>
            <w:r w:rsidR="00234FF6" w:rsidRPr="0029408A">
              <w:rPr>
                <w:rFonts w:ascii="Times New Roman" w:hAnsi="Times New Roman"/>
                <w:color w:val="000000"/>
                <w:sz w:val="24"/>
                <w:szCs w:val="24"/>
                <w:lang w:val="en-GB"/>
              </w:rPr>
              <w:t>um of rows 30 and 42</w:t>
            </w:r>
          </w:p>
        </w:tc>
        <w:tc>
          <w:tcPr>
            <w:tcW w:w="6100" w:type="dxa"/>
            <w:shd w:val="clear" w:color="auto" w:fill="auto"/>
          </w:tcPr>
          <w:p w14:paraId="508A6B02" w14:textId="77777777" w:rsidR="00865814" w:rsidRPr="0029408A" w:rsidRDefault="00B21EE8"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The s</w:t>
            </w:r>
            <w:r w:rsidR="00234FF6" w:rsidRPr="0029408A">
              <w:rPr>
                <w:rFonts w:ascii="Times New Roman" w:hAnsi="Times New Roman"/>
                <w:color w:val="000000"/>
                <w:sz w:val="24"/>
                <w:szCs w:val="24"/>
                <w:lang w:val="en-GB"/>
              </w:rPr>
              <w:t>um of rows 30 and 42</w:t>
            </w:r>
          </w:p>
        </w:tc>
      </w:tr>
      <w:tr w:rsidR="00865814" w:rsidRPr="0029408A" w14:paraId="16E737C4" w14:textId="77777777" w:rsidTr="0029408A">
        <w:tc>
          <w:tcPr>
            <w:tcW w:w="15027" w:type="dxa"/>
            <w:gridSpan w:val="5"/>
            <w:shd w:val="clear" w:color="auto" w:fill="auto"/>
          </w:tcPr>
          <w:p w14:paraId="26934DD5" w14:textId="77777777" w:rsidR="00234FF6" w:rsidRPr="0029408A" w:rsidRDefault="00234FF6" w:rsidP="00234FF6">
            <w:pPr>
              <w:rPr>
                <w:rFonts w:ascii="Times New Roman" w:eastAsia="Arial Unicode MS" w:hAnsi="Times New Roman"/>
                <w:b/>
                <w:color w:val="000000"/>
                <w:sz w:val="24"/>
                <w:szCs w:val="24"/>
                <w:lang w:val="en-GB"/>
              </w:rPr>
            </w:pPr>
            <w:r w:rsidRPr="0029408A">
              <w:rPr>
                <w:rFonts w:ascii="Times New Roman" w:eastAsia="Arial Unicode MS" w:hAnsi="Times New Roman"/>
                <w:b/>
                <w:color w:val="000000"/>
                <w:sz w:val="24"/>
                <w:szCs w:val="24"/>
                <w:lang w:val="en-GB"/>
              </w:rPr>
              <w:lastRenderedPageBreak/>
              <w:t>Equity Tier 2 capital</w:t>
            </w:r>
          </w:p>
          <w:p w14:paraId="7C1D9B99" w14:textId="77777777" w:rsidR="00865814" w:rsidRPr="0029408A" w:rsidRDefault="00865814" w:rsidP="00865814">
            <w:pPr>
              <w:rPr>
                <w:rFonts w:ascii="Times New Roman" w:hAnsi="Times New Roman"/>
                <w:b/>
                <w:color w:val="000000"/>
                <w:sz w:val="24"/>
                <w:szCs w:val="24"/>
                <w:lang w:val="en-GB"/>
              </w:rPr>
            </w:pPr>
            <w:r w:rsidRPr="0029408A">
              <w:rPr>
                <w:rFonts w:ascii="Times New Roman" w:hAnsi="Times New Roman"/>
                <w:b/>
                <w:color w:val="000000"/>
                <w:sz w:val="24"/>
                <w:szCs w:val="24"/>
                <w:lang w:val="en-GB"/>
              </w:rPr>
              <w:t xml:space="preserve"> (T2): </w:t>
            </w:r>
            <w:r w:rsidR="00A96FD5" w:rsidRPr="0029408A">
              <w:rPr>
                <w:rFonts w:ascii="Times New Roman" w:hAnsi="Times New Roman"/>
                <w:b/>
                <w:color w:val="000000"/>
                <w:sz w:val="24"/>
                <w:szCs w:val="24"/>
                <w:lang w:val="en-GB"/>
              </w:rPr>
              <w:t>instruments and provisions</w:t>
            </w:r>
          </w:p>
        </w:tc>
      </w:tr>
      <w:tr w:rsidR="00865814" w:rsidRPr="0029408A" w14:paraId="4210676B" w14:textId="77777777" w:rsidTr="0029408A">
        <w:tc>
          <w:tcPr>
            <w:tcW w:w="704" w:type="dxa"/>
            <w:shd w:val="clear" w:color="auto" w:fill="auto"/>
          </w:tcPr>
          <w:p w14:paraId="3F53255B"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73CCF503" w14:textId="77777777" w:rsidR="00865814" w:rsidRPr="0029408A" w:rsidRDefault="003409A9"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Capital instruments</w:t>
            </w:r>
            <w:r w:rsidR="00D14A4A" w:rsidRPr="0029408A">
              <w:rPr>
                <w:rFonts w:ascii="Times New Roman" w:eastAsia="Arial Unicode MS" w:hAnsi="Times New Roman"/>
                <w:color w:val="000000"/>
                <w:sz w:val="24"/>
                <w:szCs w:val="24"/>
                <w:lang w:val="en-GB"/>
              </w:rPr>
              <w:t xml:space="preserve"> and related issue premium accounts</w:t>
            </w:r>
          </w:p>
        </w:tc>
        <w:tc>
          <w:tcPr>
            <w:tcW w:w="1276" w:type="dxa"/>
            <w:shd w:val="clear" w:color="auto" w:fill="auto"/>
          </w:tcPr>
          <w:p w14:paraId="18E075F1"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76197025" w14:textId="77777777" w:rsidR="00865814" w:rsidRPr="0029408A" w:rsidRDefault="00D14A4A"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 96-97 of Regulation 109/2018</w:t>
            </w:r>
          </w:p>
        </w:tc>
        <w:tc>
          <w:tcPr>
            <w:tcW w:w="6100" w:type="dxa"/>
            <w:shd w:val="clear" w:color="auto" w:fill="auto"/>
          </w:tcPr>
          <w:p w14:paraId="48F0343A" w14:textId="77777777" w:rsidR="00865814" w:rsidRPr="0029408A" w:rsidRDefault="0074532C"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w:t>
            </w:r>
            <w:r w:rsidR="003409A9" w:rsidRPr="0029408A">
              <w:rPr>
                <w:rFonts w:ascii="Times New Roman" w:hAnsi="Times New Roman"/>
                <w:color w:val="000000"/>
                <w:sz w:val="24"/>
                <w:szCs w:val="24"/>
                <w:lang w:val="en-GB"/>
              </w:rPr>
              <w:t xml:space="preserve">the </w:t>
            </w:r>
            <w:r w:rsidRPr="0029408A">
              <w:rPr>
                <w:rFonts w:ascii="Times New Roman" w:hAnsi="Times New Roman"/>
                <w:color w:val="000000"/>
                <w:sz w:val="24"/>
                <w:szCs w:val="24"/>
                <w:lang w:val="en-GB"/>
              </w:rPr>
              <w:t>capital instruments and related issue premium accounts, as provided in p. 96-97 of Regulation 109/2018.</w:t>
            </w:r>
          </w:p>
        </w:tc>
      </w:tr>
      <w:tr w:rsidR="00865814" w:rsidRPr="0029408A" w14:paraId="307D1D8E" w14:textId="77777777" w:rsidTr="0029408A">
        <w:tc>
          <w:tcPr>
            <w:tcW w:w="704" w:type="dxa"/>
            <w:shd w:val="clear" w:color="auto" w:fill="auto"/>
          </w:tcPr>
          <w:p w14:paraId="0A5C3F41"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0FF349C1" w14:textId="77777777" w:rsidR="00865814" w:rsidRPr="0029408A" w:rsidRDefault="00DA70C4"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Eligible equity instruments included in consolidated Equity Tier 2 capital (including minority interests not included in row 4) issued by subsidiaries and held by third parties</w:t>
            </w:r>
          </w:p>
        </w:tc>
        <w:tc>
          <w:tcPr>
            <w:tcW w:w="1276" w:type="dxa"/>
            <w:shd w:val="clear" w:color="auto" w:fill="auto"/>
          </w:tcPr>
          <w:p w14:paraId="036119E1"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3F2A7905" w14:textId="77777777" w:rsidR="00865814" w:rsidRPr="0029408A" w:rsidRDefault="00D14A4A"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Regulation 109/2018</w:t>
            </w:r>
          </w:p>
        </w:tc>
        <w:tc>
          <w:tcPr>
            <w:tcW w:w="6100" w:type="dxa"/>
            <w:shd w:val="clear" w:color="auto" w:fill="auto"/>
          </w:tcPr>
          <w:p w14:paraId="5B719C11" w14:textId="77777777" w:rsidR="00865814" w:rsidRPr="0029408A" w:rsidRDefault="001D3FD5"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eligible equity instruments included in </w:t>
            </w:r>
            <w:r w:rsidRPr="0029408A">
              <w:rPr>
                <w:rFonts w:ascii="Times New Roman" w:eastAsia="Arial Unicode MS" w:hAnsi="Times New Roman"/>
                <w:color w:val="000000"/>
                <w:sz w:val="24"/>
                <w:szCs w:val="24"/>
                <w:lang w:val="en-GB"/>
              </w:rPr>
              <w:t xml:space="preserve">consolidated Equity Tier 2 capital </w:t>
            </w:r>
            <w:r w:rsidRPr="0029408A">
              <w:rPr>
                <w:rFonts w:ascii="Times New Roman" w:hAnsi="Times New Roman"/>
                <w:color w:val="000000"/>
                <w:sz w:val="24"/>
                <w:szCs w:val="24"/>
                <w:lang w:val="en-GB"/>
              </w:rPr>
              <w:t>(including minority interests not included in row 4) issued by subsidiaries and held by third parties, as provided for in Regulation 109/2018.</w:t>
            </w:r>
          </w:p>
        </w:tc>
      </w:tr>
      <w:tr w:rsidR="00865814" w:rsidRPr="0029408A" w14:paraId="1D3CA26D" w14:textId="77777777" w:rsidTr="0029408A">
        <w:trPr>
          <w:trHeight w:val="501"/>
        </w:trPr>
        <w:tc>
          <w:tcPr>
            <w:tcW w:w="704" w:type="dxa"/>
            <w:shd w:val="clear" w:color="auto" w:fill="auto"/>
          </w:tcPr>
          <w:p w14:paraId="4AE3A135"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19AC592E" w14:textId="77777777" w:rsidR="00865814" w:rsidRPr="0029408A" w:rsidRDefault="007445E0"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Credit risk adjustments</w:t>
            </w:r>
          </w:p>
        </w:tc>
        <w:tc>
          <w:tcPr>
            <w:tcW w:w="1276" w:type="dxa"/>
            <w:shd w:val="clear" w:color="auto" w:fill="auto"/>
          </w:tcPr>
          <w:p w14:paraId="03E5F4E9" w14:textId="77777777" w:rsidR="00865814" w:rsidRPr="0029408A" w:rsidRDefault="00865814" w:rsidP="00865814">
            <w:pPr>
              <w:rPr>
                <w:rFonts w:ascii="Times New Roman" w:eastAsia="Arial Unicode MS" w:hAnsi="Times New Roman"/>
                <w:color w:val="000000"/>
                <w:sz w:val="24"/>
                <w:szCs w:val="24"/>
                <w:lang w:val="en-GB"/>
              </w:rPr>
            </w:pPr>
          </w:p>
        </w:tc>
        <w:tc>
          <w:tcPr>
            <w:tcW w:w="2694" w:type="dxa"/>
            <w:shd w:val="clear" w:color="auto" w:fill="auto"/>
          </w:tcPr>
          <w:p w14:paraId="27F12ECA" w14:textId="77777777" w:rsidR="00865814" w:rsidRPr="0029408A" w:rsidRDefault="00D14A4A" w:rsidP="00865814">
            <w:pPr>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P.96 subp.3) of Regulation 109/2018</w:t>
            </w:r>
          </w:p>
        </w:tc>
        <w:tc>
          <w:tcPr>
            <w:tcW w:w="6100" w:type="dxa"/>
            <w:shd w:val="clear" w:color="auto" w:fill="auto"/>
          </w:tcPr>
          <w:p w14:paraId="6A9CD24C" w14:textId="77777777" w:rsidR="00865814" w:rsidRPr="0029408A" w:rsidRDefault="00840305"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Adjustments for credit risk will be reflected in accordance with p.96 subp.3) of Regulation 109/2018.</w:t>
            </w:r>
          </w:p>
        </w:tc>
      </w:tr>
      <w:tr w:rsidR="00865814" w:rsidRPr="0029408A" w14:paraId="4CB6EA15" w14:textId="77777777" w:rsidTr="0029408A">
        <w:tc>
          <w:tcPr>
            <w:tcW w:w="704" w:type="dxa"/>
            <w:shd w:val="clear" w:color="auto" w:fill="auto"/>
          </w:tcPr>
          <w:p w14:paraId="3A2FE9E4"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5B2CB5CE" w14:textId="77777777" w:rsidR="00865814" w:rsidRPr="0029408A" w:rsidRDefault="00B9525D" w:rsidP="0029408A">
            <w:pPr>
              <w:jc w:val="both"/>
              <w:rPr>
                <w:rFonts w:ascii="Times New Roman" w:eastAsia="Arial Unicode MS" w:hAnsi="Times New Roman"/>
                <w:b/>
                <w:color w:val="000000"/>
                <w:sz w:val="24"/>
                <w:szCs w:val="24"/>
                <w:lang w:val="en-GB"/>
              </w:rPr>
            </w:pPr>
            <w:r w:rsidRPr="0029408A">
              <w:rPr>
                <w:rFonts w:ascii="Times New Roman" w:hAnsi="Times New Roman"/>
                <w:b/>
                <w:color w:val="000000"/>
                <w:sz w:val="24"/>
                <w:szCs w:val="24"/>
                <w:lang w:val="en-GB"/>
              </w:rPr>
              <w:t>Equity Tier 2 capital (T2) before regulated adjustments</w:t>
            </w:r>
          </w:p>
        </w:tc>
        <w:tc>
          <w:tcPr>
            <w:tcW w:w="1276" w:type="dxa"/>
            <w:shd w:val="clear" w:color="auto" w:fill="auto"/>
          </w:tcPr>
          <w:p w14:paraId="5D4781D7" w14:textId="77777777" w:rsidR="00865814" w:rsidRPr="0029408A" w:rsidRDefault="00865814" w:rsidP="00865814">
            <w:pPr>
              <w:rPr>
                <w:rFonts w:ascii="Times New Roman" w:eastAsia="Arial Unicode MS" w:hAnsi="Times New Roman"/>
                <w:color w:val="000000"/>
                <w:sz w:val="24"/>
                <w:szCs w:val="24"/>
                <w:lang w:val="en-GB"/>
              </w:rPr>
            </w:pPr>
          </w:p>
        </w:tc>
        <w:tc>
          <w:tcPr>
            <w:tcW w:w="2694" w:type="dxa"/>
            <w:shd w:val="clear" w:color="auto" w:fill="auto"/>
          </w:tcPr>
          <w:p w14:paraId="1B4D056D" w14:textId="77777777" w:rsidR="00865814" w:rsidRPr="0029408A" w:rsidRDefault="00B21EE8" w:rsidP="00865814">
            <w:pPr>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The s</w:t>
            </w:r>
            <w:r w:rsidR="00D14A4A" w:rsidRPr="0029408A">
              <w:rPr>
                <w:rFonts w:ascii="Times New Roman" w:eastAsia="Arial Unicode MS" w:hAnsi="Times New Roman"/>
                <w:color w:val="000000"/>
                <w:sz w:val="24"/>
                <w:szCs w:val="24"/>
                <w:lang w:val="en-GB"/>
              </w:rPr>
              <w:t>um of rows 44, 45 and 46</w:t>
            </w:r>
          </w:p>
        </w:tc>
        <w:tc>
          <w:tcPr>
            <w:tcW w:w="6100" w:type="dxa"/>
            <w:shd w:val="clear" w:color="auto" w:fill="auto"/>
          </w:tcPr>
          <w:p w14:paraId="74D5E4C9" w14:textId="77777777" w:rsidR="00865814" w:rsidRPr="0029408A" w:rsidRDefault="00B21EE8" w:rsidP="00865814">
            <w:pPr>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The s</w:t>
            </w:r>
            <w:r w:rsidR="007445E0" w:rsidRPr="0029408A">
              <w:rPr>
                <w:rFonts w:ascii="Times New Roman" w:eastAsia="Arial Unicode MS" w:hAnsi="Times New Roman"/>
                <w:color w:val="000000"/>
                <w:sz w:val="24"/>
                <w:szCs w:val="24"/>
                <w:lang w:val="en-GB"/>
              </w:rPr>
              <w:t>um of rows 44, 45 and 46</w:t>
            </w:r>
          </w:p>
        </w:tc>
      </w:tr>
      <w:tr w:rsidR="00865814" w:rsidRPr="0029408A" w14:paraId="43A7B4DE" w14:textId="77777777" w:rsidTr="0029408A">
        <w:tc>
          <w:tcPr>
            <w:tcW w:w="704" w:type="dxa"/>
            <w:shd w:val="clear" w:color="auto" w:fill="auto"/>
          </w:tcPr>
          <w:p w14:paraId="203EF33C" w14:textId="77777777" w:rsidR="00865814" w:rsidRPr="0029408A" w:rsidRDefault="00865814" w:rsidP="0029408A">
            <w:pPr>
              <w:pStyle w:val="ListParagraph"/>
              <w:tabs>
                <w:tab w:val="left" w:pos="594"/>
              </w:tabs>
              <w:spacing w:after="160" w:line="259" w:lineRule="auto"/>
              <w:ind w:left="311"/>
              <w:rPr>
                <w:color w:val="000000"/>
              </w:rPr>
            </w:pPr>
          </w:p>
        </w:tc>
        <w:tc>
          <w:tcPr>
            <w:tcW w:w="14323" w:type="dxa"/>
            <w:gridSpan w:val="4"/>
            <w:shd w:val="clear" w:color="auto" w:fill="auto"/>
          </w:tcPr>
          <w:p w14:paraId="2A0602D7" w14:textId="77777777" w:rsidR="00865814" w:rsidRPr="0029408A" w:rsidRDefault="00B41AE3" w:rsidP="00865814">
            <w:pPr>
              <w:rPr>
                <w:rFonts w:ascii="Times New Roman" w:hAnsi="Times New Roman"/>
                <w:color w:val="000000"/>
                <w:sz w:val="24"/>
                <w:szCs w:val="24"/>
                <w:lang w:val="en-GB"/>
              </w:rPr>
            </w:pPr>
            <w:r w:rsidRPr="0029408A">
              <w:rPr>
                <w:rFonts w:ascii="Times New Roman" w:hAnsi="Times New Roman"/>
                <w:b/>
                <w:color w:val="000000"/>
                <w:sz w:val="24"/>
                <w:szCs w:val="24"/>
                <w:lang w:val="en-GB"/>
              </w:rPr>
              <w:t>Equity Tier 2 capital (T2) before regulated adjustments</w:t>
            </w:r>
          </w:p>
        </w:tc>
      </w:tr>
      <w:tr w:rsidR="00865814" w:rsidRPr="0029408A" w14:paraId="7403BDE3" w14:textId="77777777" w:rsidTr="0029408A">
        <w:tc>
          <w:tcPr>
            <w:tcW w:w="704" w:type="dxa"/>
            <w:shd w:val="clear" w:color="auto" w:fill="auto"/>
          </w:tcPr>
          <w:p w14:paraId="13D27C6C"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0CFBF190" w14:textId="77777777" w:rsidR="00865814" w:rsidRPr="0029408A" w:rsidRDefault="00EB2E0D"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Direct and ind</w:t>
            </w:r>
            <w:r w:rsidR="00F54320" w:rsidRPr="0029408A">
              <w:rPr>
                <w:rFonts w:ascii="Times New Roman" w:eastAsia="Arial Unicode MS" w:hAnsi="Times New Roman"/>
                <w:color w:val="000000"/>
                <w:sz w:val="24"/>
                <w:szCs w:val="24"/>
                <w:lang w:val="en-GB"/>
              </w:rPr>
              <w:t xml:space="preserve">irect holdings of banks' </w:t>
            </w:r>
            <w:r w:rsidRPr="0029408A">
              <w:rPr>
                <w:rFonts w:ascii="Times New Roman" w:eastAsia="Arial Unicode MS" w:hAnsi="Times New Roman"/>
                <w:color w:val="000000"/>
                <w:sz w:val="24"/>
                <w:szCs w:val="24"/>
                <w:lang w:val="en-GB"/>
              </w:rPr>
              <w:t>Equity Tier 2 capital instruments and subordinated loans (negative value)</w:t>
            </w:r>
          </w:p>
        </w:tc>
        <w:tc>
          <w:tcPr>
            <w:tcW w:w="1276" w:type="dxa"/>
            <w:shd w:val="clear" w:color="auto" w:fill="auto"/>
          </w:tcPr>
          <w:p w14:paraId="386EC8E0"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0D1D0F9F" w14:textId="77777777" w:rsidR="00865814" w:rsidRPr="0029408A" w:rsidRDefault="00EB2E0D"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 97, subp.2, letter a), p.100 subp.1) and p. 102 of Regulation 109/2018</w:t>
            </w:r>
          </w:p>
        </w:tc>
        <w:tc>
          <w:tcPr>
            <w:tcW w:w="6100" w:type="dxa"/>
            <w:shd w:val="clear" w:color="auto" w:fill="auto"/>
          </w:tcPr>
          <w:p w14:paraId="2EECFCDC" w14:textId="77777777" w:rsidR="00451D33" w:rsidRPr="0029408A" w:rsidRDefault="00451D33" w:rsidP="0029408A">
            <w:pPr>
              <w:spacing w:after="0" w:line="240" w:lineRule="auto"/>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direct and indirect holdings </w:t>
            </w:r>
            <w:r w:rsidR="00760D47" w:rsidRPr="0029408A">
              <w:rPr>
                <w:rFonts w:ascii="Times New Roman" w:eastAsia="Arial Unicode MS" w:hAnsi="Times New Roman"/>
                <w:color w:val="000000"/>
                <w:sz w:val="24"/>
                <w:szCs w:val="24"/>
                <w:lang w:val="en-GB"/>
              </w:rPr>
              <w:t>of banks'</w:t>
            </w:r>
            <w:r w:rsidR="00537AD9" w:rsidRPr="0029408A">
              <w:rPr>
                <w:rFonts w:ascii="Times New Roman" w:eastAsia="Arial Unicode MS" w:hAnsi="Times New Roman"/>
                <w:color w:val="000000"/>
                <w:sz w:val="24"/>
                <w:szCs w:val="24"/>
                <w:lang w:val="en-GB"/>
              </w:rPr>
              <w:t xml:space="preserve"> Equity Tier 2 capital instruments and subordinated loans</w:t>
            </w:r>
            <w:r w:rsidRPr="0029408A">
              <w:rPr>
                <w:rFonts w:ascii="Times New Roman" w:hAnsi="Times New Roman"/>
                <w:color w:val="000000"/>
                <w:sz w:val="24"/>
                <w:szCs w:val="24"/>
                <w:lang w:val="en-GB"/>
              </w:rPr>
              <w:t>, as provided in p. 97, subp.2, letter a), p.100 subp.1) and p. 102 of Regulation 109/2018.</w:t>
            </w:r>
          </w:p>
          <w:p w14:paraId="54AD634E" w14:textId="77777777" w:rsidR="00451D33" w:rsidRPr="0029408A" w:rsidRDefault="00451D33" w:rsidP="0029408A">
            <w:pPr>
              <w:spacing w:after="0" w:line="240" w:lineRule="auto"/>
              <w:rPr>
                <w:rFonts w:ascii="Times New Roman" w:hAnsi="Times New Roman"/>
                <w:color w:val="000000"/>
                <w:sz w:val="24"/>
                <w:szCs w:val="24"/>
                <w:lang w:val="en-GB"/>
              </w:rPr>
            </w:pPr>
          </w:p>
          <w:p w14:paraId="1AC789F2" w14:textId="77777777" w:rsidR="00865814" w:rsidRPr="0029408A" w:rsidRDefault="00451D33" w:rsidP="00451D33">
            <w:pPr>
              <w:rPr>
                <w:rFonts w:ascii="Times New Roman" w:hAnsi="Times New Roman"/>
                <w:i/>
                <w:color w:val="000000"/>
                <w:sz w:val="24"/>
                <w:szCs w:val="24"/>
                <w:lang w:val="en-GB"/>
              </w:rPr>
            </w:pPr>
            <w:r w:rsidRPr="0029408A">
              <w:rPr>
                <w:rFonts w:ascii="Times New Roman" w:hAnsi="Times New Roman"/>
                <w:i/>
                <w:color w:val="000000"/>
                <w:sz w:val="24"/>
                <w:szCs w:val="24"/>
                <w:lang w:val="en-GB"/>
              </w:rPr>
              <w:t>(negative value)</w:t>
            </w:r>
          </w:p>
        </w:tc>
      </w:tr>
      <w:tr w:rsidR="00865814" w:rsidRPr="0029408A" w14:paraId="296785E3" w14:textId="77777777" w:rsidTr="0029408A">
        <w:tc>
          <w:tcPr>
            <w:tcW w:w="704" w:type="dxa"/>
            <w:shd w:val="clear" w:color="auto" w:fill="auto"/>
          </w:tcPr>
          <w:p w14:paraId="4E98976A"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4EF5915A" w14:textId="77777777" w:rsidR="00865814" w:rsidRPr="0029408A" w:rsidRDefault="00F54320"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 xml:space="preserve">Holdings of Equity Tier 2 capital instruments and subordinated loans of financial sector entities, if these entities and the bank hold mutual participations intended to artificially increase the bank's own funds </w:t>
            </w:r>
            <w:r w:rsidRPr="0029408A">
              <w:rPr>
                <w:rFonts w:ascii="Times New Roman" w:eastAsia="Arial Unicode MS" w:hAnsi="Times New Roman"/>
                <w:i/>
                <w:color w:val="000000"/>
                <w:sz w:val="24"/>
                <w:szCs w:val="24"/>
                <w:lang w:val="en-GB"/>
              </w:rPr>
              <w:t>(negative value)</w:t>
            </w:r>
          </w:p>
        </w:tc>
        <w:tc>
          <w:tcPr>
            <w:tcW w:w="1276" w:type="dxa"/>
            <w:shd w:val="clear" w:color="auto" w:fill="auto"/>
          </w:tcPr>
          <w:p w14:paraId="3DD60D5A"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57CAFF80" w14:textId="77777777" w:rsidR="00865814" w:rsidRPr="0029408A" w:rsidRDefault="006469A4"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P.100 subp.2) and p. 103 of Regulation 109/2018</w:t>
            </w:r>
          </w:p>
        </w:tc>
        <w:tc>
          <w:tcPr>
            <w:tcW w:w="6100" w:type="dxa"/>
            <w:shd w:val="clear" w:color="auto" w:fill="auto"/>
          </w:tcPr>
          <w:p w14:paraId="21B8A81F" w14:textId="77777777" w:rsidR="004D15BF" w:rsidRPr="0029408A" w:rsidRDefault="004D15BF"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holdings of </w:t>
            </w:r>
            <w:r w:rsidRPr="0029408A">
              <w:rPr>
                <w:rFonts w:ascii="Times New Roman" w:eastAsia="Arial Unicode MS" w:hAnsi="Times New Roman"/>
                <w:color w:val="000000"/>
                <w:sz w:val="24"/>
                <w:szCs w:val="24"/>
                <w:lang w:val="en-GB"/>
              </w:rPr>
              <w:t>Equity Tier 2 capital instruments</w:t>
            </w:r>
            <w:r w:rsidRPr="0029408A">
              <w:rPr>
                <w:rFonts w:ascii="Times New Roman" w:hAnsi="Times New Roman"/>
                <w:color w:val="000000"/>
                <w:sz w:val="24"/>
                <w:szCs w:val="24"/>
                <w:lang w:val="en-GB"/>
              </w:rPr>
              <w:t xml:space="preserve"> and subordinated loans of financial sector entities, if these entities and the bank hold mutual participations intended to artificially increase the bank's own funds, as provided in p.100 </w:t>
            </w:r>
            <w:proofErr w:type="spellStart"/>
            <w:r w:rsidRPr="0029408A">
              <w:rPr>
                <w:rFonts w:ascii="Times New Roman" w:hAnsi="Times New Roman"/>
                <w:color w:val="000000"/>
                <w:sz w:val="24"/>
                <w:szCs w:val="24"/>
                <w:lang w:val="en-GB"/>
              </w:rPr>
              <w:t>subp</w:t>
            </w:r>
            <w:proofErr w:type="spellEnd"/>
            <w:r w:rsidRPr="0029408A">
              <w:rPr>
                <w:rFonts w:ascii="Times New Roman" w:hAnsi="Times New Roman"/>
                <w:color w:val="000000"/>
                <w:sz w:val="24"/>
                <w:szCs w:val="24"/>
                <w:lang w:val="en-GB"/>
              </w:rPr>
              <w:t xml:space="preserve">. 2) and p. 103 of Regulation 109/2018. </w:t>
            </w:r>
          </w:p>
          <w:p w14:paraId="44165FD7" w14:textId="77777777" w:rsidR="00865814" w:rsidRPr="0029408A" w:rsidRDefault="004D15BF" w:rsidP="00865814">
            <w:pPr>
              <w:rPr>
                <w:rFonts w:ascii="Times New Roman" w:hAnsi="Times New Roman"/>
                <w:color w:val="000000"/>
                <w:sz w:val="24"/>
                <w:szCs w:val="24"/>
                <w:lang w:val="en-GB"/>
              </w:rPr>
            </w:pPr>
            <w:r w:rsidRPr="0029408A">
              <w:rPr>
                <w:rFonts w:ascii="Times New Roman" w:eastAsia="Arial Unicode MS" w:hAnsi="Times New Roman"/>
                <w:i/>
                <w:color w:val="000000"/>
                <w:sz w:val="24"/>
                <w:szCs w:val="24"/>
                <w:lang w:val="en-GB"/>
              </w:rPr>
              <w:t>(negative value)</w:t>
            </w:r>
          </w:p>
        </w:tc>
      </w:tr>
      <w:tr w:rsidR="00865814" w:rsidRPr="0029408A" w14:paraId="02174DB8" w14:textId="77777777" w:rsidTr="0029408A">
        <w:tc>
          <w:tcPr>
            <w:tcW w:w="704" w:type="dxa"/>
            <w:shd w:val="clear" w:color="auto" w:fill="auto"/>
          </w:tcPr>
          <w:p w14:paraId="03881396"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166404DC" w14:textId="77777777" w:rsidR="00865814" w:rsidRPr="0029408A" w:rsidRDefault="009864DC"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 xml:space="preserve">Direct and indirect holdings of Equity Tier 2 capital instruments and subordinated loans of financial sector entities in which the bank does not have a significant investment (value above the 10% threshold and excluding eligible short positions) </w:t>
            </w:r>
            <w:r w:rsidRPr="0029408A">
              <w:rPr>
                <w:rFonts w:ascii="Times New Roman" w:eastAsia="Arial Unicode MS" w:hAnsi="Times New Roman"/>
                <w:i/>
                <w:color w:val="000000"/>
                <w:sz w:val="24"/>
                <w:szCs w:val="24"/>
                <w:lang w:val="en-GB"/>
              </w:rPr>
              <w:t>(negative value)</w:t>
            </w:r>
          </w:p>
        </w:tc>
        <w:tc>
          <w:tcPr>
            <w:tcW w:w="1276" w:type="dxa"/>
            <w:shd w:val="clear" w:color="auto" w:fill="auto"/>
          </w:tcPr>
          <w:p w14:paraId="161B3B93"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2DC92D1A" w14:textId="77777777" w:rsidR="00865814" w:rsidRPr="0029408A" w:rsidRDefault="005B37F0"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P.100 subp.3) and p. 104 of Regulation 109/2018</w:t>
            </w:r>
          </w:p>
        </w:tc>
        <w:tc>
          <w:tcPr>
            <w:tcW w:w="6100" w:type="dxa"/>
            <w:shd w:val="clear" w:color="auto" w:fill="auto"/>
          </w:tcPr>
          <w:p w14:paraId="19D408DA" w14:textId="77777777" w:rsidR="00865814" w:rsidRPr="0029408A" w:rsidRDefault="002830E9"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direct and indirect holdings of </w:t>
            </w:r>
            <w:r w:rsidRPr="0029408A">
              <w:rPr>
                <w:rFonts w:ascii="Times New Roman" w:eastAsia="Arial Unicode MS" w:hAnsi="Times New Roman"/>
                <w:color w:val="000000"/>
                <w:sz w:val="24"/>
                <w:szCs w:val="24"/>
                <w:lang w:val="en-GB"/>
              </w:rPr>
              <w:t>Equity Tier 2 capital instruments</w:t>
            </w:r>
            <w:r w:rsidRPr="0029408A">
              <w:rPr>
                <w:rFonts w:ascii="Times New Roman" w:hAnsi="Times New Roman"/>
                <w:color w:val="000000"/>
                <w:sz w:val="24"/>
                <w:szCs w:val="24"/>
                <w:lang w:val="en-GB"/>
              </w:rPr>
              <w:t xml:space="preserve"> and subordinated loans of financial sector entities in which the bank does not have a significant investment (value above the 10% threshold and excluding eligible short positions), as provided in p .100 subp.3) and p. 104 of Regulation 109/2018.</w:t>
            </w:r>
          </w:p>
          <w:p w14:paraId="766454D4" w14:textId="77777777" w:rsidR="00865814" w:rsidRPr="0029408A" w:rsidRDefault="00865814" w:rsidP="00865814">
            <w:pPr>
              <w:rPr>
                <w:rFonts w:ascii="Times New Roman" w:hAnsi="Times New Roman"/>
                <w:color w:val="000000"/>
                <w:sz w:val="24"/>
                <w:szCs w:val="24"/>
                <w:lang w:val="en-GB"/>
              </w:rPr>
            </w:pPr>
            <w:r w:rsidRPr="0029408A">
              <w:rPr>
                <w:rFonts w:ascii="Times New Roman" w:eastAsia="Arial Unicode MS" w:hAnsi="Times New Roman"/>
                <w:i/>
                <w:color w:val="000000"/>
                <w:sz w:val="24"/>
                <w:szCs w:val="24"/>
                <w:lang w:val="en-GB"/>
              </w:rPr>
              <w:t>(</w:t>
            </w:r>
            <w:r w:rsidR="002830E9" w:rsidRPr="0029408A">
              <w:rPr>
                <w:rFonts w:ascii="Times New Roman" w:eastAsia="Arial Unicode MS" w:hAnsi="Times New Roman"/>
                <w:i/>
                <w:color w:val="000000"/>
                <w:sz w:val="24"/>
                <w:szCs w:val="24"/>
                <w:lang w:val="en-GB"/>
              </w:rPr>
              <w:t>negative value</w:t>
            </w:r>
            <w:r w:rsidRPr="0029408A">
              <w:rPr>
                <w:rFonts w:ascii="Times New Roman" w:eastAsia="Arial Unicode MS" w:hAnsi="Times New Roman"/>
                <w:i/>
                <w:color w:val="000000"/>
                <w:sz w:val="24"/>
                <w:szCs w:val="24"/>
                <w:lang w:val="en-GB"/>
              </w:rPr>
              <w:t>)</w:t>
            </w:r>
          </w:p>
        </w:tc>
      </w:tr>
      <w:tr w:rsidR="00865814" w:rsidRPr="0029408A" w14:paraId="4F1504D2" w14:textId="77777777" w:rsidTr="0029408A">
        <w:tc>
          <w:tcPr>
            <w:tcW w:w="704" w:type="dxa"/>
            <w:shd w:val="clear" w:color="auto" w:fill="auto"/>
          </w:tcPr>
          <w:p w14:paraId="530D3355"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3C771328" w14:textId="77777777" w:rsidR="00865814" w:rsidRPr="0029408A" w:rsidRDefault="006734B7"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 xml:space="preserve">Direct and indirect holdings of banks' Equity Tier 2 capital </w:t>
            </w:r>
            <w:proofErr w:type="gramStart"/>
            <w:r w:rsidRPr="0029408A">
              <w:rPr>
                <w:rFonts w:ascii="Times New Roman" w:eastAsia="Arial Unicode MS" w:hAnsi="Times New Roman"/>
                <w:color w:val="000000"/>
                <w:sz w:val="24"/>
                <w:szCs w:val="24"/>
                <w:lang w:val="en-GB"/>
              </w:rPr>
              <w:t>instruments  and</w:t>
            </w:r>
            <w:proofErr w:type="gramEnd"/>
            <w:r w:rsidRPr="0029408A">
              <w:rPr>
                <w:rFonts w:ascii="Times New Roman" w:eastAsia="Arial Unicode MS" w:hAnsi="Times New Roman"/>
                <w:color w:val="000000"/>
                <w:sz w:val="24"/>
                <w:szCs w:val="24"/>
                <w:lang w:val="en-GB"/>
              </w:rPr>
              <w:t xml:space="preserve"> subordinated loans of financial sector entities in which the bank holds a significant investment (excluding eligible short positions) (negative value)</w:t>
            </w:r>
          </w:p>
        </w:tc>
        <w:tc>
          <w:tcPr>
            <w:tcW w:w="1276" w:type="dxa"/>
            <w:shd w:val="clear" w:color="auto" w:fill="auto"/>
          </w:tcPr>
          <w:p w14:paraId="3F26B6C1" w14:textId="77777777" w:rsidR="00865814" w:rsidRPr="0029408A" w:rsidRDefault="00865814" w:rsidP="0029408A">
            <w:pPr>
              <w:jc w:val="both"/>
              <w:rPr>
                <w:rFonts w:ascii="Times New Roman" w:hAnsi="Times New Roman"/>
                <w:color w:val="000000"/>
                <w:sz w:val="24"/>
                <w:szCs w:val="24"/>
                <w:lang w:val="en-GB"/>
              </w:rPr>
            </w:pPr>
          </w:p>
        </w:tc>
        <w:tc>
          <w:tcPr>
            <w:tcW w:w="2694" w:type="dxa"/>
            <w:shd w:val="clear" w:color="auto" w:fill="auto"/>
          </w:tcPr>
          <w:p w14:paraId="4B3DE00E" w14:textId="77777777" w:rsidR="00865814" w:rsidRPr="0029408A" w:rsidRDefault="005B37F0" w:rsidP="0029408A">
            <w:pPr>
              <w:jc w:val="both"/>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P.100 subp.4), p. 104 and p.126-129 of Regulation 109/2018</w:t>
            </w:r>
          </w:p>
        </w:tc>
        <w:tc>
          <w:tcPr>
            <w:tcW w:w="6100" w:type="dxa"/>
            <w:shd w:val="clear" w:color="auto" w:fill="auto"/>
          </w:tcPr>
          <w:p w14:paraId="1FC9600A" w14:textId="77777777" w:rsidR="00780273" w:rsidRPr="0029408A" w:rsidRDefault="00780273" w:rsidP="0029408A">
            <w:pPr>
              <w:jc w:val="both"/>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direct and indirect </w:t>
            </w:r>
            <w:r w:rsidRPr="0029408A">
              <w:rPr>
                <w:rFonts w:ascii="Times New Roman" w:eastAsia="Arial Unicode MS" w:hAnsi="Times New Roman"/>
                <w:color w:val="000000"/>
                <w:sz w:val="24"/>
                <w:szCs w:val="24"/>
                <w:lang w:val="en-GB"/>
              </w:rPr>
              <w:t xml:space="preserve">holdings of banks' Equity Tier 2 capital </w:t>
            </w:r>
            <w:proofErr w:type="gramStart"/>
            <w:r w:rsidRPr="0029408A">
              <w:rPr>
                <w:rFonts w:ascii="Times New Roman" w:eastAsia="Arial Unicode MS" w:hAnsi="Times New Roman"/>
                <w:color w:val="000000"/>
                <w:sz w:val="24"/>
                <w:szCs w:val="24"/>
                <w:lang w:val="en-GB"/>
              </w:rPr>
              <w:t xml:space="preserve">instruments  </w:t>
            </w:r>
            <w:r w:rsidRPr="0029408A">
              <w:rPr>
                <w:rFonts w:ascii="Times New Roman" w:hAnsi="Times New Roman"/>
                <w:color w:val="000000"/>
                <w:sz w:val="24"/>
                <w:szCs w:val="24"/>
                <w:lang w:val="en-GB"/>
              </w:rPr>
              <w:t>and</w:t>
            </w:r>
            <w:proofErr w:type="gramEnd"/>
            <w:r w:rsidRPr="0029408A">
              <w:rPr>
                <w:rFonts w:ascii="Times New Roman" w:hAnsi="Times New Roman"/>
                <w:color w:val="000000"/>
                <w:sz w:val="24"/>
                <w:szCs w:val="24"/>
                <w:lang w:val="en-GB"/>
              </w:rPr>
              <w:t xml:space="preserve"> subordinated loans of financial sector entities in which the bank holds a significant investment (excluding eligible short positions), as provided in p.100 subp.4</w:t>
            </w:r>
            <w:proofErr w:type="gramStart"/>
            <w:r w:rsidRPr="0029408A">
              <w:rPr>
                <w:rFonts w:ascii="Times New Roman" w:hAnsi="Times New Roman"/>
                <w:color w:val="000000"/>
                <w:sz w:val="24"/>
                <w:szCs w:val="24"/>
                <w:lang w:val="en-GB"/>
              </w:rPr>
              <w:t>) ,</w:t>
            </w:r>
            <w:proofErr w:type="gramEnd"/>
            <w:r w:rsidRPr="0029408A">
              <w:rPr>
                <w:rFonts w:ascii="Times New Roman" w:hAnsi="Times New Roman"/>
                <w:color w:val="000000"/>
                <w:sz w:val="24"/>
                <w:szCs w:val="24"/>
                <w:lang w:val="en-GB"/>
              </w:rPr>
              <w:t xml:space="preserve"> p. 104 and p. 126-129 of Regulation 109/2018.</w:t>
            </w:r>
          </w:p>
          <w:p w14:paraId="0B762924" w14:textId="77777777" w:rsidR="00865814" w:rsidRPr="0029408A" w:rsidRDefault="00780273" w:rsidP="0029408A">
            <w:pPr>
              <w:jc w:val="both"/>
              <w:rPr>
                <w:rFonts w:ascii="Times New Roman" w:hAnsi="Times New Roman"/>
                <w:i/>
                <w:color w:val="000000"/>
                <w:sz w:val="24"/>
                <w:szCs w:val="24"/>
                <w:lang w:val="en-GB"/>
              </w:rPr>
            </w:pPr>
            <w:r w:rsidRPr="0029408A">
              <w:rPr>
                <w:rFonts w:ascii="Times New Roman" w:hAnsi="Times New Roman"/>
                <w:i/>
                <w:color w:val="000000"/>
                <w:sz w:val="24"/>
                <w:szCs w:val="24"/>
                <w:lang w:val="en-GB"/>
              </w:rPr>
              <w:t>(negative value)</w:t>
            </w:r>
          </w:p>
        </w:tc>
      </w:tr>
      <w:tr w:rsidR="00865814" w:rsidRPr="0029408A" w14:paraId="7F1E9A92" w14:textId="77777777" w:rsidTr="0029408A">
        <w:tc>
          <w:tcPr>
            <w:tcW w:w="704" w:type="dxa"/>
            <w:shd w:val="clear" w:color="auto" w:fill="auto"/>
          </w:tcPr>
          <w:p w14:paraId="7466D5B6"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282196C3" w14:textId="77777777" w:rsidR="00865814" w:rsidRPr="0029408A" w:rsidRDefault="00365E04" w:rsidP="0029408A">
            <w:pPr>
              <w:jc w:val="both"/>
              <w:rPr>
                <w:rFonts w:ascii="Times New Roman" w:eastAsia="Arial Unicode MS" w:hAnsi="Times New Roman"/>
                <w:b/>
                <w:color w:val="000000"/>
                <w:sz w:val="24"/>
                <w:szCs w:val="24"/>
                <w:lang w:val="en-GB"/>
              </w:rPr>
            </w:pPr>
            <w:r w:rsidRPr="0029408A">
              <w:rPr>
                <w:rFonts w:ascii="Times New Roman" w:eastAsia="Arial Unicode MS" w:hAnsi="Times New Roman"/>
                <w:b/>
                <w:color w:val="000000"/>
                <w:sz w:val="24"/>
                <w:szCs w:val="24"/>
                <w:lang w:val="en-GB"/>
              </w:rPr>
              <w:t>Total regulatory adjustments to Equity Tier 2 capital (T2)</w:t>
            </w:r>
          </w:p>
        </w:tc>
        <w:tc>
          <w:tcPr>
            <w:tcW w:w="1276" w:type="dxa"/>
            <w:shd w:val="clear" w:color="auto" w:fill="auto"/>
          </w:tcPr>
          <w:p w14:paraId="2BA18331"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6E32CC29" w14:textId="77777777" w:rsidR="00865814" w:rsidRPr="0029408A" w:rsidRDefault="00B21EE8"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The s</w:t>
            </w:r>
            <w:r w:rsidR="00365E04" w:rsidRPr="0029408A">
              <w:rPr>
                <w:rFonts w:ascii="Times New Roman" w:hAnsi="Times New Roman"/>
                <w:color w:val="000000"/>
                <w:sz w:val="24"/>
                <w:szCs w:val="24"/>
                <w:lang w:val="en-GB"/>
              </w:rPr>
              <w:t>um of rows 48-51</w:t>
            </w:r>
          </w:p>
        </w:tc>
        <w:tc>
          <w:tcPr>
            <w:tcW w:w="6100" w:type="dxa"/>
            <w:shd w:val="clear" w:color="auto" w:fill="auto"/>
          </w:tcPr>
          <w:p w14:paraId="2DCF272C" w14:textId="77777777" w:rsidR="00865814" w:rsidRPr="0029408A" w:rsidRDefault="00B21EE8"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The s</w:t>
            </w:r>
            <w:r w:rsidR="00365E04" w:rsidRPr="0029408A">
              <w:rPr>
                <w:rFonts w:ascii="Times New Roman" w:hAnsi="Times New Roman"/>
                <w:color w:val="000000"/>
                <w:sz w:val="24"/>
                <w:szCs w:val="24"/>
                <w:lang w:val="en-GB"/>
              </w:rPr>
              <w:t>um of rows 48-51</w:t>
            </w:r>
          </w:p>
        </w:tc>
      </w:tr>
      <w:tr w:rsidR="00865814" w:rsidRPr="0029408A" w14:paraId="02FBF7E0" w14:textId="77777777" w:rsidTr="0029408A">
        <w:trPr>
          <w:trHeight w:val="667"/>
        </w:trPr>
        <w:tc>
          <w:tcPr>
            <w:tcW w:w="704" w:type="dxa"/>
            <w:shd w:val="clear" w:color="auto" w:fill="auto"/>
          </w:tcPr>
          <w:p w14:paraId="541CE034"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72D20CD2" w14:textId="77777777" w:rsidR="00865814" w:rsidRPr="0029408A" w:rsidRDefault="00C70B5B"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b/>
                <w:color w:val="000000"/>
                <w:sz w:val="24"/>
                <w:szCs w:val="24"/>
                <w:lang w:val="en-GB"/>
              </w:rPr>
              <w:t>Equity Tier 2 capital</w:t>
            </w:r>
            <w:r w:rsidR="00865814" w:rsidRPr="0029408A">
              <w:rPr>
                <w:rFonts w:ascii="Times New Roman" w:eastAsia="Arial Unicode MS" w:hAnsi="Times New Roman"/>
                <w:b/>
                <w:color w:val="000000"/>
                <w:sz w:val="24"/>
                <w:szCs w:val="24"/>
                <w:lang w:val="en-GB"/>
              </w:rPr>
              <w:t xml:space="preserve"> (T2)</w:t>
            </w:r>
          </w:p>
        </w:tc>
        <w:tc>
          <w:tcPr>
            <w:tcW w:w="1276" w:type="dxa"/>
            <w:shd w:val="clear" w:color="auto" w:fill="auto"/>
          </w:tcPr>
          <w:p w14:paraId="7F42BDA2"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3E71FF0A" w14:textId="77777777" w:rsidR="00865814" w:rsidRPr="0029408A" w:rsidRDefault="000D1C1F" w:rsidP="00B21EE8">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The </w:t>
            </w:r>
            <w:r w:rsidR="00B21EE8" w:rsidRPr="0029408A">
              <w:rPr>
                <w:rFonts w:ascii="Times New Roman" w:hAnsi="Times New Roman"/>
                <w:color w:val="000000"/>
                <w:sz w:val="24"/>
                <w:szCs w:val="24"/>
                <w:lang w:val="en-GB"/>
              </w:rPr>
              <w:t>sum</w:t>
            </w:r>
            <w:r w:rsidRPr="0029408A">
              <w:rPr>
                <w:rFonts w:ascii="Times New Roman" w:hAnsi="Times New Roman"/>
                <w:color w:val="000000"/>
                <w:sz w:val="24"/>
                <w:szCs w:val="24"/>
                <w:lang w:val="en-GB"/>
              </w:rPr>
              <w:t xml:space="preserve"> of row 47 minus the </w:t>
            </w:r>
            <w:r w:rsidR="00B21EE8" w:rsidRPr="0029408A">
              <w:rPr>
                <w:rFonts w:ascii="Times New Roman" w:hAnsi="Times New Roman"/>
                <w:color w:val="000000"/>
                <w:sz w:val="24"/>
                <w:szCs w:val="24"/>
                <w:lang w:val="en-GB"/>
              </w:rPr>
              <w:t>sum</w:t>
            </w:r>
            <w:r w:rsidRPr="0029408A">
              <w:rPr>
                <w:rFonts w:ascii="Times New Roman" w:hAnsi="Times New Roman"/>
                <w:color w:val="000000"/>
                <w:sz w:val="24"/>
                <w:szCs w:val="24"/>
                <w:lang w:val="en-GB"/>
              </w:rPr>
              <w:t xml:space="preserve"> of row 52</w:t>
            </w:r>
          </w:p>
        </w:tc>
        <w:tc>
          <w:tcPr>
            <w:tcW w:w="6100" w:type="dxa"/>
            <w:shd w:val="clear" w:color="auto" w:fill="auto"/>
          </w:tcPr>
          <w:p w14:paraId="365200F8" w14:textId="77777777" w:rsidR="00865814" w:rsidRPr="0029408A" w:rsidRDefault="000D1C1F" w:rsidP="00B21EE8">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The </w:t>
            </w:r>
            <w:r w:rsidR="00B21EE8" w:rsidRPr="0029408A">
              <w:rPr>
                <w:rFonts w:ascii="Times New Roman" w:hAnsi="Times New Roman"/>
                <w:color w:val="000000"/>
                <w:sz w:val="24"/>
                <w:szCs w:val="24"/>
                <w:lang w:val="en-GB"/>
              </w:rPr>
              <w:t>sum</w:t>
            </w:r>
            <w:r w:rsidRPr="0029408A">
              <w:rPr>
                <w:rFonts w:ascii="Times New Roman" w:hAnsi="Times New Roman"/>
                <w:color w:val="000000"/>
                <w:sz w:val="24"/>
                <w:szCs w:val="24"/>
                <w:lang w:val="en-GB"/>
              </w:rPr>
              <w:t xml:space="preserve"> of row 47 minus the </w:t>
            </w:r>
            <w:r w:rsidR="00B21EE8" w:rsidRPr="0029408A">
              <w:rPr>
                <w:rFonts w:ascii="Times New Roman" w:hAnsi="Times New Roman"/>
                <w:color w:val="000000"/>
                <w:sz w:val="24"/>
                <w:szCs w:val="24"/>
                <w:lang w:val="en-GB"/>
              </w:rPr>
              <w:t>sum</w:t>
            </w:r>
            <w:r w:rsidRPr="0029408A">
              <w:rPr>
                <w:rFonts w:ascii="Times New Roman" w:hAnsi="Times New Roman"/>
                <w:color w:val="000000"/>
                <w:sz w:val="24"/>
                <w:szCs w:val="24"/>
                <w:lang w:val="en-GB"/>
              </w:rPr>
              <w:t xml:space="preserve"> of row 52</w:t>
            </w:r>
          </w:p>
        </w:tc>
      </w:tr>
      <w:tr w:rsidR="00865814" w:rsidRPr="0029408A" w14:paraId="21D0C3C0" w14:textId="77777777" w:rsidTr="0029408A">
        <w:tc>
          <w:tcPr>
            <w:tcW w:w="704" w:type="dxa"/>
            <w:shd w:val="clear" w:color="auto" w:fill="auto"/>
          </w:tcPr>
          <w:p w14:paraId="1760EE52"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7CA37E21" w14:textId="77777777" w:rsidR="00865814" w:rsidRPr="0029408A" w:rsidRDefault="00C70B5B"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b/>
                <w:color w:val="000000"/>
                <w:sz w:val="24"/>
                <w:szCs w:val="24"/>
                <w:lang w:val="en-GB"/>
              </w:rPr>
              <w:t>Total equity</w:t>
            </w:r>
            <w:r w:rsidR="00865814" w:rsidRPr="0029408A">
              <w:rPr>
                <w:rFonts w:ascii="Times New Roman" w:eastAsia="Arial Unicode MS" w:hAnsi="Times New Roman"/>
                <w:b/>
                <w:color w:val="000000"/>
                <w:sz w:val="24"/>
                <w:szCs w:val="24"/>
                <w:lang w:val="en-GB"/>
              </w:rPr>
              <w:t xml:space="preserve"> (TC= T1+T2)</w:t>
            </w:r>
          </w:p>
        </w:tc>
        <w:tc>
          <w:tcPr>
            <w:tcW w:w="1276" w:type="dxa"/>
            <w:shd w:val="clear" w:color="auto" w:fill="auto"/>
          </w:tcPr>
          <w:p w14:paraId="272AADA1"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2B53B3DC" w14:textId="77777777" w:rsidR="00865814" w:rsidRPr="0029408A" w:rsidRDefault="00C70B5B"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The sum of rows</w:t>
            </w:r>
            <w:r w:rsidR="000D1C1F" w:rsidRPr="0029408A">
              <w:rPr>
                <w:rFonts w:ascii="Times New Roman" w:hAnsi="Times New Roman"/>
                <w:color w:val="000000"/>
                <w:sz w:val="24"/>
                <w:szCs w:val="24"/>
                <w:lang w:val="en-GB"/>
              </w:rPr>
              <w:t xml:space="preserve"> 43 and 53</w:t>
            </w:r>
          </w:p>
        </w:tc>
        <w:tc>
          <w:tcPr>
            <w:tcW w:w="6100" w:type="dxa"/>
            <w:shd w:val="clear" w:color="auto" w:fill="auto"/>
          </w:tcPr>
          <w:p w14:paraId="4527C581" w14:textId="77777777" w:rsidR="00865814" w:rsidRPr="0029408A" w:rsidRDefault="00C70B5B"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The sum of rows 43 and 53</w:t>
            </w:r>
          </w:p>
        </w:tc>
      </w:tr>
      <w:tr w:rsidR="00865814" w:rsidRPr="0029408A" w14:paraId="13DC892B" w14:textId="77777777" w:rsidTr="0029408A">
        <w:tc>
          <w:tcPr>
            <w:tcW w:w="704" w:type="dxa"/>
            <w:shd w:val="clear" w:color="auto" w:fill="auto"/>
          </w:tcPr>
          <w:p w14:paraId="60F26714"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4E694B4C" w14:textId="77777777" w:rsidR="00865814" w:rsidRPr="0029408A" w:rsidRDefault="00B21EE8" w:rsidP="0029408A">
            <w:pPr>
              <w:jc w:val="both"/>
              <w:rPr>
                <w:rFonts w:ascii="Times New Roman" w:eastAsia="Arial Unicode MS" w:hAnsi="Times New Roman"/>
                <w:b/>
                <w:color w:val="000000"/>
                <w:sz w:val="24"/>
                <w:szCs w:val="24"/>
                <w:lang w:val="en-GB"/>
              </w:rPr>
            </w:pPr>
            <w:r w:rsidRPr="0029408A">
              <w:rPr>
                <w:rFonts w:ascii="Times New Roman" w:eastAsia="Arial Unicode MS" w:hAnsi="Times New Roman"/>
                <w:b/>
                <w:color w:val="000000"/>
                <w:sz w:val="24"/>
                <w:szCs w:val="24"/>
                <w:lang w:val="en-GB"/>
              </w:rPr>
              <w:t>Total risk weighted assets</w:t>
            </w:r>
          </w:p>
        </w:tc>
        <w:tc>
          <w:tcPr>
            <w:tcW w:w="1276" w:type="dxa"/>
            <w:shd w:val="clear" w:color="auto" w:fill="auto"/>
          </w:tcPr>
          <w:p w14:paraId="387A8511"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4F4FAA93" w14:textId="77777777" w:rsidR="00865814" w:rsidRPr="0029408A" w:rsidRDefault="0040429F"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Risk weighted assets of the reporting group</w:t>
            </w:r>
          </w:p>
        </w:tc>
        <w:tc>
          <w:tcPr>
            <w:tcW w:w="6100" w:type="dxa"/>
            <w:shd w:val="clear" w:color="auto" w:fill="auto"/>
          </w:tcPr>
          <w:p w14:paraId="3E4FBB98" w14:textId="77777777" w:rsidR="00865814" w:rsidRPr="0029408A" w:rsidRDefault="0040429F"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Risk weighted assets of the reporting group</w:t>
            </w:r>
          </w:p>
        </w:tc>
      </w:tr>
      <w:tr w:rsidR="00865814" w:rsidRPr="0029408A" w14:paraId="693FADB5" w14:textId="77777777" w:rsidTr="0029408A">
        <w:tc>
          <w:tcPr>
            <w:tcW w:w="15027" w:type="dxa"/>
            <w:gridSpan w:val="5"/>
            <w:shd w:val="clear" w:color="auto" w:fill="auto"/>
          </w:tcPr>
          <w:p w14:paraId="0E86ED06" w14:textId="77777777" w:rsidR="00865814" w:rsidRPr="0029408A" w:rsidRDefault="00213AFC" w:rsidP="00ED029F">
            <w:pPr>
              <w:rPr>
                <w:rFonts w:ascii="Times New Roman" w:hAnsi="Times New Roman"/>
                <w:b/>
                <w:color w:val="000000"/>
                <w:sz w:val="24"/>
                <w:szCs w:val="24"/>
                <w:lang w:val="en-GB"/>
              </w:rPr>
            </w:pPr>
            <w:r w:rsidRPr="0029408A">
              <w:rPr>
                <w:rFonts w:ascii="Times New Roman" w:hAnsi="Times New Roman"/>
                <w:b/>
                <w:color w:val="000000"/>
                <w:sz w:val="24"/>
                <w:szCs w:val="24"/>
                <w:lang w:val="en-GB"/>
              </w:rPr>
              <w:t xml:space="preserve">Rates and </w:t>
            </w:r>
            <w:r w:rsidR="00ED029F" w:rsidRPr="0029408A">
              <w:rPr>
                <w:rFonts w:ascii="Times New Roman" w:hAnsi="Times New Roman"/>
                <w:b/>
                <w:color w:val="000000"/>
                <w:sz w:val="24"/>
                <w:szCs w:val="24"/>
                <w:lang w:val="en-GB"/>
              </w:rPr>
              <w:t>buffers</w:t>
            </w:r>
            <w:r w:rsidR="00A50E52" w:rsidRPr="0029408A">
              <w:rPr>
                <w:rFonts w:ascii="Times New Roman" w:hAnsi="Times New Roman"/>
                <w:b/>
                <w:color w:val="000000"/>
                <w:sz w:val="24"/>
                <w:szCs w:val="24"/>
                <w:lang w:val="en-GB"/>
              </w:rPr>
              <w:t xml:space="preserve"> of own funds</w:t>
            </w:r>
          </w:p>
        </w:tc>
      </w:tr>
      <w:tr w:rsidR="00865814" w:rsidRPr="0029408A" w14:paraId="2A255054" w14:textId="77777777" w:rsidTr="0029408A">
        <w:tc>
          <w:tcPr>
            <w:tcW w:w="704" w:type="dxa"/>
            <w:shd w:val="clear" w:color="auto" w:fill="auto"/>
          </w:tcPr>
          <w:p w14:paraId="4AF7F13D"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24EE8E00" w14:textId="77777777" w:rsidR="00865814" w:rsidRPr="0029408A" w:rsidRDefault="00B50599"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Common Equity Tier 1 capital (as a percentage of the total value of the risk exposure)</w:t>
            </w:r>
          </w:p>
        </w:tc>
        <w:tc>
          <w:tcPr>
            <w:tcW w:w="1276" w:type="dxa"/>
            <w:shd w:val="clear" w:color="auto" w:fill="auto"/>
          </w:tcPr>
          <w:p w14:paraId="6ECA4B7F"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61BF3B80" w14:textId="77777777" w:rsidR="00865814" w:rsidRPr="0029408A" w:rsidRDefault="00FB71DA"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P.131 subp.1) of Regulation 109/2018</w:t>
            </w:r>
          </w:p>
        </w:tc>
        <w:tc>
          <w:tcPr>
            <w:tcW w:w="6100" w:type="dxa"/>
            <w:shd w:val="clear" w:color="auto" w:fill="auto"/>
          </w:tcPr>
          <w:p w14:paraId="005A7ACA" w14:textId="77777777" w:rsidR="00865814" w:rsidRPr="0029408A" w:rsidRDefault="00D858BE"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w:t>
            </w:r>
            <w:r w:rsidRPr="0029408A">
              <w:rPr>
                <w:rFonts w:ascii="Times New Roman" w:eastAsia="Arial Unicode MS" w:hAnsi="Times New Roman"/>
                <w:color w:val="000000"/>
                <w:sz w:val="24"/>
                <w:szCs w:val="24"/>
                <w:lang w:val="en-GB"/>
              </w:rPr>
              <w:t xml:space="preserve">Common Equity Tier 1 capital </w:t>
            </w:r>
            <w:r w:rsidRPr="0029408A">
              <w:rPr>
                <w:rFonts w:ascii="Times New Roman" w:hAnsi="Times New Roman"/>
                <w:color w:val="000000"/>
                <w:sz w:val="24"/>
                <w:szCs w:val="24"/>
                <w:lang w:val="en-GB"/>
              </w:rPr>
              <w:t>(as a percentage of the total value of the risk exposure), calculated as row 30 divided by row 55 (as a percentage) in accordance with p.131 subp.1) of Regulation 109/2018.</w:t>
            </w:r>
          </w:p>
        </w:tc>
      </w:tr>
      <w:tr w:rsidR="00865814" w:rsidRPr="0029408A" w14:paraId="62BB0A42" w14:textId="77777777" w:rsidTr="0029408A">
        <w:tc>
          <w:tcPr>
            <w:tcW w:w="704" w:type="dxa"/>
            <w:shd w:val="clear" w:color="auto" w:fill="auto"/>
          </w:tcPr>
          <w:p w14:paraId="74878227"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0D990004" w14:textId="77777777" w:rsidR="00865814" w:rsidRPr="0029408A" w:rsidRDefault="00A44050"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 xml:space="preserve">Equity Tier </w:t>
            </w:r>
            <w:r w:rsidR="00496DC9" w:rsidRPr="0029408A">
              <w:rPr>
                <w:rFonts w:ascii="Times New Roman" w:eastAsia="Arial Unicode MS" w:hAnsi="Times New Roman"/>
                <w:color w:val="000000"/>
                <w:sz w:val="24"/>
                <w:szCs w:val="24"/>
                <w:lang w:val="en-GB"/>
              </w:rPr>
              <w:t>1</w:t>
            </w:r>
            <w:r w:rsidRPr="0029408A">
              <w:rPr>
                <w:rFonts w:ascii="Times New Roman" w:eastAsia="Arial Unicode MS" w:hAnsi="Times New Roman"/>
                <w:color w:val="000000"/>
                <w:sz w:val="24"/>
                <w:szCs w:val="24"/>
                <w:lang w:val="en-GB"/>
              </w:rPr>
              <w:t xml:space="preserve"> capital (as a percentage of total risk exposure)</w:t>
            </w:r>
          </w:p>
        </w:tc>
        <w:tc>
          <w:tcPr>
            <w:tcW w:w="1276" w:type="dxa"/>
            <w:shd w:val="clear" w:color="auto" w:fill="auto"/>
          </w:tcPr>
          <w:p w14:paraId="41A25805"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0C1784FF" w14:textId="77777777" w:rsidR="00865814" w:rsidRPr="0029408A" w:rsidRDefault="00A44050"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P.131 subp.2) of Regulation 109/2018</w:t>
            </w:r>
          </w:p>
        </w:tc>
        <w:tc>
          <w:tcPr>
            <w:tcW w:w="6100" w:type="dxa"/>
            <w:shd w:val="clear" w:color="auto" w:fill="auto"/>
          </w:tcPr>
          <w:p w14:paraId="7D55E18E" w14:textId="77777777" w:rsidR="00865814" w:rsidRPr="0029408A" w:rsidRDefault="00496DC9"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w:t>
            </w:r>
            <w:r w:rsidRPr="0029408A">
              <w:rPr>
                <w:rFonts w:ascii="Times New Roman" w:eastAsia="Arial Unicode MS" w:hAnsi="Times New Roman"/>
                <w:color w:val="000000"/>
                <w:sz w:val="24"/>
                <w:szCs w:val="24"/>
                <w:lang w:val="en-GB"/>
              </w:rPr>
              <w:t xml:space="preserve">Equity Tier 1 capital </w:t>
            </w:r>
            <w:r w:rsidRPr="0029408A">
              <w:rPr>
                <w:rFonts w:ascii="Times New Roman" w:hAnsi="Times New Roman"/>
                <w:color w:val="000000"/>
                <w:sz w:val="24"/>
                <w:szCs w:val="24"/>
                <w:lang w:val="en-GB"/>
              </w:rPr>
              <w:t>(as a percentage of the total value of risk exposure), calculated as row 43 divided by row 55 (as a percentage) in accordance with p.131 subp.2) of Regulation 109/2018.</w:t>
            </w:r>
          </w:p>
        </w:tc>
      </w:tr>
      <w:tr w:rsidR="00865814" w:rsidRPr="0029408A" w14:paraId="51D76B3F" w14:textId="77777777" w:rsidTr="0029408A">
        <w:tc>
          <w:tcPr>
            <w:tcW w:w="704" w:type="dxa"/>
            <w:shd w:val="clear" w:color="auto" w:fill="auto"/>
          </w:tcPr>
          <w:p w14:paraId="3C85619D"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63FEA37E" w14:textId="77777777" w:rsidR="00865814" w:rsidRPr="0029408A" w:rsidRDefault="006363B8"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Total equity (as a percentage of total risk exposure)</w:t>
            </w:r>
          </w:p>
        </w:tc>
        <w:tc>
          <w:tcPr>
            <w:tcW w:w="1276" w:type="dxa"/>
            <w:shd w:val="clear" w:color="auto" w:fill="auto"/>
          </w:tcPr>
          <w:p w14:paraId="3AD30259"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4C0DE78C" w14:textId="77777777" w:rsidR="00865814" w:rsidRPr="0029408A" w:rsidRDefault="006363B8"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P.131 subp.3) of Regulation 109/2018</w:t>
            </w:r>
          </w:p>
        </w:tc>
        <w:tc>
          <w:tcPr>
            <w:tcW w:w="6100" w:type="dxa"/>
            <w:shd w:val="clear" w:color="auto" w:fill="auto"/>
          </w:tcPr>
          <w:p w14:paraId="4C78D02F" w14:textId="77777777" w:rsidR="00865814" w:rsidRPr="0029408A" w:rsidRDefault="00DB645C"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It reflects the total equity (as a percentage of the total value of the risk exposure), calculated as row 54 divided by row 55 (as a percentage) in accordance with p.131 subp.3) of Regulation 109/2018.</w:t>
            </w:r>
          </w:p>
        </w:tc>
      </w:tr>
      <w:tr w:rsidR="00865814" w:rsidRPr="0029408A" w14:paraId="0657AB4E" w14:textId="77777777" w:rsidTr="0029408A">
        <w:tc>
          <w:tcPr>
            <w:tcW w:w="704" w:type="dxa"/>
            <w:shd w:val="clear" w:color="auto" w:fill="auto"/>
          </w:tcPr>
          <w:p w14:paraId="503A375D"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646ABEB4" w14:textId="77777777" w:rsidR="00865814" w:rsidRPr="0029408A" w:rsidRDefault="00896F98"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 xml:space="preserve">Bank-specific buffer requirement (Common Equity Tier 1 capital requirement in accordance with p.130 </w:t>
            </w:r>
            <w:proofErr w:type="spellStart"/>
            <w:r w:rsidRPr="0029408A">
              <w:rPr>
                <w:rFonts w:ascii="Times New Roman" w:eastAsia="Arial Unicode MS" w:hAnsi="Times New Roman"/>
                <w:color w:val="000000"/>
                <w:sz w:val="24"/>
                <w:szCs w:val="24"/>
                <w:lang w:val="en-GB"/>
              </w:rPr>
              <w:t>subp</w:t>
            </w:r>
            <w:proofErr w:type="spellEnd"/>
            <w:r w:rsidRPr="0029408A">
              <w:rPr>
                <w:rFonts w:ascii="Times New Roman" w:eastAsia="Arial Unicode MS" w:hAnsi="Times New Roman"/>
                <w:color w:val="000000"/>
                <w:sz w:val="24"/>
                <w:szCs w:val="24"/>
                <w:lang w:val="en-GB"/>
              </w:rPr>
              <w:t xml:space="preserve">. 1) </w:t>
            </w:r>
            <w:proofErr w:type="gramStart"/>
            <w:r w:rsidRPr="0029408A">
              <w:rPr>
                <w:rFonts w:ascii="Times New Roman" w:eastAsia="Arial Unicode MS" w:hAnsi="Times New Roman"/>
                <w:color w:val="000000"/>
                <w:sz w:val="24"/>
                <w:szCs w:val="24"/>
                <w:lang w:val="en-GB"/>
              </w:rPr>
              <w:t>plus</w:t>
            </w:r>
            <w:proofErr w:type="gramEnd"/>
            <w:r w:rsidRPr="0029408A">
              <w:rPr>
                <w:rFonts w:ascii="Times New Roman" w:eastAsia="Arial Unicode MS" w:hAnsi="Times New Roman"/>
                <w:color w:val="000000"/>
                <w:sz w:val="24"/>
                <w:szCs w:val="24"/>
                <w:lang w:val="en-GB"/>
              </w:rPr>
              <w:t xml:space="preserve"> capital conservation buffer and countercyclical buffer requirements, plus systemic risk buffer, plus systemically important institutions buffer expressed as a percentage of the value of the risk exposure)</w:t>
            </w:r>
          </w:p>
        </w:tc>
        <w:tc>
          <w:tcPr>
            <w:tcW w:w="1276" w:type="dxa"/>
            <w:shd w:val="clear" w:color="auto" w:fill="auto"/>
          </w:tcPr>
          <w:p w14:paraId="6E22EA03"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4C786123" w14:textId="77777777" w:rsidR="00865814" w:rsidRPr="0029408A" w:rsidRDefault="00896F98"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P.16-26, p.53-69, p.66-86 of Regulation 110/2018</w:t>
            </w:r>
          </w:p>
        </w:tc>
        <w:tc>
          <w:tcPr>
            <w:tcW w:w="6100" w:type="dxa"/>
            <w:shd w:val="clear" w:color="auto" w:fill="auto"/>
          </w:tcPr>
          <w:p w14:paraId="413352DB" w14:textId="77777777" w:rsidR="00865814" w:rsidRPr="0029408A" w:rsidRDefault="00896F98" w:rsidP="00865814">
            <w:pPr>
              <w:rPr>
                <w:rFonts w:ascii="Times New Roman" w:eastAsia="Arial Unicode MS" w:hAnsi="Times New Roman"/>
                <w:color w:val="000000"/>
                <w:sz w:val="24"/>
                <w:szCs w:val="24"/>
                <w:lang w:val="en-GB"/>
              </w:rPr>
            </w:pPr>
            <w:r w:rsidRPr="0029408A">
              <w:rPr>
                <w:rFonts w:ascii="Times New Roman" w:hAnsi="Times New Roman"/>
                <w:color w:val="000000"/>
                <w:sz w:val="24"/>
                <w:szCs w:val="24"/>
                <w:lang w:val="en-GB"/>
              </w:rPr>
              <w:t>It reflects the bank-specific buffer requirement (</w:t>
            </w:r>
            <w:r w:rsidRPr="0029408A">
              <w:rPr>
                <w:rFonts w:ascii="Times New Roman" w:eastAsia="Arial Unicode MS" w:hAnsi="Times New Roman"/>
                <w:color w:val="000000"/>
                <w:sz w:val="24"/>
                <w:szCs w:val="24"/>
                <w:lang w:val="en-GB"/>
              </w:rPr>
              <w:t>Common Equity Tier 1 capital</w:t>
            </w:r>
            <w:r w:rsidRPr="0029408A">
              <w:rPr>
                <w:rFonts w:ascii="Times New Roman" w:hAnsi="Times New Roman"/>
                <w:color w:val="000000"/>
                <w:sz w:val="24"/>
                <w:szCs w:val="24"/>
                <w:lang w:val="en-GB"/>
              </w:rPr>
              <w:t xml:space="preserve"> requirement in accordance with p.130 </w:t>
            </w:r>
            <w:proofErr w:type="spellStart"/>
            <w:r w:rsidRPr="0029408A">
              <w:rPr>
                <w:rFonts w:ascii="Times New Roman" w:hAnsi="Times New Roman"/>
                <w:color w:val="000000"/>
                <w:sz w:val="24"/>
                <w:szCs w:val="24"/>
                <w:lang w:val="en-GB"/>
              </w:rPr>
              <w:t>subp</w:t>
            </w:r>
            <w:proofErr w:type="spellEnd"/>
            <w:r w:rsidRPr="0029408A">
              <w:rPr>
                <w:rFonts w:ascii="Times New Roman" w:hAnsi="Times New Roman"/>
                <w:color w:val="000000"/>
                <w:sz w:val="24"/>
                <w:szCs w:val="24"/>
                <w:lang w:val="en-GB"/>
              </w:rPr>
              <w:t xml:space="preserve">. 1) of Regulation 109/2018 plus the capital conservation buffer and countercyclical buffer requirements, plus the systemic risk buffer, </w:t>
            </w:r>
            <w:r w:rsidRPr="0029408A">
              <w:rPr>
                <w:rFonts w:ascii="Times New Roman" w:eastAsia="Arial Unicode MS" w:hAnsi="Times New Roman"/>
                <w:color w:val="000000"/>
                <w:sz w:val="24"/>
                <w:szCs w:val="24"/>
                <w:lang w:val="en-GB"/>
              </w:rPr>
              <w:t xml:space="preserve">plus </w:t>
            </w:r>
            <w:r w:rsidR="002170C2" w:rsidRPr="0029408A">
              <w:rPr>
                <w:rFonts w:ascii="Times New Roman" w:eastAsia="Arial Unicode MS" w:hAnsi="Times New Roman"/>
                <w:color w:val="000000"/>
                <w:sz w:val="24"/>
                <w:szCs w:val="24"/>
                <w:lang w:val="en-GB"/>
              </w:rPr>
              <w:t xml:space="preserve">the </w:t>
            </w:r>
            <w:r w:rsidRPr="0029408A">
              <w:rPr>
                <w:rFonts w:ascii="Times New Roman" w:eastAsia="Arial Unicode MS" w:hAnsi="Times New Roman"/>
                <w:color w:val="000000"/>
                <w:sz w:val="24"/>
                <w:szCs w:val="24"/>
                <w:lang w:val="en-GB"/>
              </w:rPr>
              <w:t>systemically important institutions buffer</w:t>
            </w:r>
            <w:r w:rsidRPr="0029408A">
              <w:rPr>
                <w:rFonts w:ascii="Times New Roman" w:hAnsi="Times New Roman"/>
                <w:color w:val="000000"/>
                <w:sz w:val="24"/>
                <w:szCs w:val="24"/>
                <w:lang w:val="en-GB"/>
              </w:rPr>
              <w:t xml:space="preserve"> expressed as a percentage of the value of the risk exposure).</w:t>
            </w:r>
            <w:r w:rsidR="00865814" w:rsidRPr="0029408A">
              <w:rPr>
                <w:rFonts w:ascii="Times New Roman" w:eastAsia="Arial Unicode MS" w:hAnsi="Times New Roman"/>
                <w:color w:val="000000"/>
                <w:sz w:val="24"/>
                <w:szCs w:val="24"/>
                <w:lang w:val="en-GB"/>
              </w:rPr>
              <w:t xml:space="preserve"> </w:t>
            </w:r>
          </w:p>
          <w:p w14:paraId="68FE7EE9" w14:textId="77777777" w:rsidR="00865814" w:rsidRPr="0029408A" w:rsidRDefault="002170C2"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It shall be calculated as 5.5%, plus 2.5%, plus the countercyclical buffer requirement calculated in accordance with points 16-26 of Regulation 110/2018, plus the systemic buffer requirement (as applicable) calculated in accordance with p.66 -86 of Regulation 110/2018, plus the systemically important institutions buffer (O-SII buffer) calculated in accordance with p.53-69 of Regulation 110/2018.</w:t>
            </w:r>
          </w:p>
        </w:tc>
      </w:tr>
      <w:tr w:rsidR="00865814" w:rsidRPr="0029408A" w14:paraId="462321F4" w14:textId="77777777" w:rsidTr="0029408A">
        <w:tc>
          <w:tcPr>
            <w:tcW w:w="704" w:type="dxa"/>
            <w:shd w:val="clear" w:color="auto" w:fill="auto"/>
          </w:tcPr>
          <w:p w14:paraId="6C539012"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5CCB0058" w14:textId="77777777" w:rsidR="00865814" w:rsidRPr="0029408A" w:rsidRDefault="00865814"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b/>
                <w:color w:val="000000"/>
                <w:sz w:val="24"/>
                <w:szCs w:val="24"/>
                <w:lang w:val="en-GB"/>
              </w:rPr>
              <w:t xml:space="preserve"> </w:t>
            </w:r>
            <w:r w:rsidR="00473719" w:rsidRPr="0029408A">
              <w:rPr>
                <w:rFonts w:ascii="Times New Roman" w:eastAsia="Arial Unicode MS" w:hAnsi="Times New Roman"/>
                <w:color w:val="000000"/>
                <w:sz w:val="24"/>
                <w:szCs w:val="24"/>
                <w:lang w:val="en-GB"/>
              </w:rPr>
              <w:t>- of which: capital conservation buffer requirement</w:t>
            </w:r>
          </w:p>
        </w:tc>
        <w:tc>
          <w:tcPr>
            <w:tcW w:w="1276" w:type="dxa"/>
            <w:shd w:val="clear" w:color="auto" w:fill="auto"/>
          </w:tcPr>
          <w:p w14:paraId="72D908E8"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0B379D6D" w14:textId="77777777" w:rsidR="00865814" w:rsidRPr="0029408A" w:rsidRDefault="00865814" w:rsidP="00865814">
            <w:pPr>
              <w:rPr>
                <w:rFonts w:ascii="Times New Roman" w:hAnsi="Times New Roman"/>
                <w:color w:val="000000"/>
                <w:sz w:val="24"/>
                <w:szCs w:val="24"/>
                <w:lang w:val="en-GB"/>
              </w:rPr>
            </w:pPr>
          </w:p>
        </w:tc>
        <w:tc>
          <w:tcPr>
            <w:tcW w:w="6100" w:type="dxa"/>
            <w:shd w:val="clear" w:color="auto" w:fill="auto"/>
          </w:tcPr>
          <w:p w14:paraId="6F9F1CDC" w14:textId="77777777" w:rsidR="00865814" w:rsidRPr="0029408A" w:rsidRDefault="00E2648E"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It reflects the value in row 59 (expressed as a percentage of risk-weighted assets) regarding the capital conservation buffer (indicate 2.5%).</w:t>
            </w:r>
          </w:p>
        </w:tc>
      </w:tr>
      <w:tr w:rsidR="00865814" w:rsidRPr="0029408A" w14:paraId="64F79A77" w14:textId="77777777" w:rsidTr="0029408A">
        <w:tc>
          <w:tcPr>
            <w:tcW w:w="704" w:type="dxa"/>
            <w:shd w:val="clear" w:color="auto" w:fill="auto"/>
          </w:tcPr>
          <w:p w14:paraId="4CDA5532"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6F034AE9" w14:textId="77777777" w:rsidR="00865814" w:rsidRPr="0029408A" w:rsidRDefault="00473719"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b/>
                <w:color w:val="000000"/>
                <w:sz w:val="24"/>
                <w:szCs w:val="24"/>
                <w:lang w:val="en-GB"/>
              </w:rPr>
              <w:t xml:space="preserve">  </w:t>
            </w:r>
            <w:r w:rsidRPr="0029408A">
              <w:rPr>
                <w:rFonts w:ascii="Times New Roman" w:eastAsia="Arial Unicode MS" w:hAnsi="Times New Roman"/>
                <w:color w:val="000000"/>
                <w:sz w:val="24"/>
                <w:szCs w:val="24"/>
                <w:lang w:val="en-GB"/>
              </w:rPr>
              <w:t xml:space="preserve">- of which: </w:t>
            </w:r>
            <w:r w:rsidRPr="0029408A">
              <w:rPr>
                <w:rFonts w:ascii="Times New Roman" w:hAnsi="Times New Roman"/>
                <w:color w:val="000000"/>
                <w:sz w:val="24"/>
                <w:szCs w:val="24"/>
                <w:lang w:val="en-GB"/>
              </w:rPr>
              <w:t>countercyclical buffer</w:t>
            </w:r>
            <w:r w:rsidRPr="0029408A">
              <w:rPr>
                <w:rFonts w:ascii="Times New Roman" w:eastAsia="Arial Unicode MS" w:hAnsi="Times New Roman"/>
                <w:color w:val="000000"/>
                <w:sz w:val="24"/>
                <w:szCs w:val="24"/>
                <w:lang w:val="en-GB"/>
              </w:rPr>
              <w:t xml:space="preserve"> requirement</w:t>
            </w:r>
          </w:p>
        </w:tc>
        <w:tc>
          <w:tcPr>
            <w:tcW w:w="1276" w:type="dxa"/>
            <w:shd w:val="clear" w:color="auto" w:fill="auto"/>
          </w:tcPr>
          <w:p w14:paraId="6C5DAE20"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60EDE79A" w14:textId="77777777" w:rsidR="00865814" w:rsidRPr="0029408A" w:rsidRDefault="00865814" w:rsidP="00865814">
            <w:pPr>
              <w:rPr>
                <w:rFonts w:ascii="Times New Roman" w:hAnsi="Times New Roman"/>
                <w:color w:val="000000"/>
                <w:sz w:val="24"/>
                <w:szCs w:val="24"/>
                <w:lang w:val="en-GB"/>
              </w:rPr>
            </w:pPr>
          </w:p>
        </w:tc>
        <w:tc>
          <w:tcPr>
            <w:tcW w:w="6100" w:type="dxa"/>
            <w:shd w:val="clear" w:color="auto" w:fill="auto"/>
          </w:tcPr>
          <w:p w14:paraId="21DAE107" w14:textId="77777777" w:rsidR="00865814" w:rsidRPr="0029408A" w:rsidRDefault="0006427B"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It reflects the value in row 59 (expressed as a percentage of risk-weighted assets) relating to the countercyclical buffer.</w:t>
            </w:r>
          </w:p>
        </w:tc>
      </w:tr>
      <w:tr w:rsidR="00865814" w:rsidRPr="0029408A" w14:paraId="6E4F9432" w14:textId="77777777" w:rsidTr="0029408A">
        <w:tc>
          <w:tcPr>
            <w:tcW w:w="704" w:type="dxa"/>
            <w:shd w:val="clear" w:color="auto" w:fill="auto"/>
          </w:tcPr>
          <w:p w14:paraId="09EDA7AB"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7D45F5D4" w14:textId="77777777" w:rsidR="00865814" w:rsidRPr="0029408A" w:rsidRDefault="00646099" w:rsidP="0029408A">
            <w:pPr>
              <w:pStyle w:val="ListParagraph"/>
              <w:numPr>
                <w:ilvl w:val="0"/>
                <w:numId w:val="11"/>
              </w:numPr>
              <w:jc w:val="both"/>
              <w:rPr>
                <w:rFonts w:eastAsia="Arial Unicode MS"/>
                <w:color w:val="000000"/>
              </w:rPr>
            </w:pPr>
            <w:r w:rsidRPr="0029408A">
              <w:rPr>
                <w:rFonts w:eastAsia="Arial Unicode MS"/>
                <w:color w:val="000000"/>
              </w:rPr>
              <w:t>of which</w:t>
            </w:r>
            <w:r w:rsidR="00865814" w:rsidRPr="0029408A">
              <w:rPr>
                <w:rFonts w:eastAsia="Arial Unicode MS"/>
                <w:color w:val="000000"/>
              </w:rPr>
              <w:t xml:space="preserve">: </w:t>
            </w:r>
            <w:r w:rsidRPr="0029408A">
              <w:rPr>
                <w:rFonts w:eastAsia="Arial Unicode MS"/>
                <w:color w:val="000000"/>
              </w:rPr>
              <w:t>systemic buffer requirement</w:t>
            </w:r>
          </w:p>
        </w:tc>
        <w:tc>
          <w:tcPr>
            <w:tcW w:w="1276" w:type="dxa"/>
            <w:shd w:val="clear" w:color="auto" w:fill="auto"/>
          </w:tcPr>
          <w:p w14:paraId="7FF4B462"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69B902DE" w14:textId="77777777" w:rsidR="00865814" w:rsidRPr="0029408A" w:rsidRDefault="00865814" w:rsidP="00865814">
            <w:pPr>
              <w:rPr>
                <w:rFonts w:ascii="Times New Roman" w:hAnsi="Times New Roman"/>
                <w:color w:val="000000"/>
                <w:sz w:val="24"/>
                <w:szCs w:val="24"/>
                <w:lang w:val="en-GB"/>
              </w:rPr>
            </w:pPr>
          </w:p>
        </w:tc>
        <w:tc>
          <w:tcPr>
            <w:tcW w:w="6100" w:type="dxa"/>
            <w:shd w:val="clear" w:color="auto" w:fill="auto"/>
          </w:tcPr>
          <w:p w14:paraId="79AFF4CF" w14:textId="77777777" w:rsidR="00865814" w:rsidRPr="0029408A" w:rsidRDefault="003A0A81"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value in row 59 (expressed as a percentage of risk weighted assets) relating to the </w:t>
            </w:r>
            <w:r w:rsidRPr="0029408A">
              <w:rPr>
                <w:rFonts w:ascii="Times New Roman" w:eastAsia="Arial Unicode MS" w:hAnsi="Times New Roman"/>
                <w:color w:val="000000"/>
                <w:sz w:val="24"/>
                <w:szCs w:val="24"/>
                <w:lang w:val="en-GB"/>
              </w:rPr>
              <w:t>systemic buffer</w:t>
            </w:r>
            <w:r w:rsidRPr="0029408A">
              <w:rPr>
                <w:rFonts w:ascii="Times New Roman" w:hAnsi="Times New Roman"/>
                <w:color w:val="000000"/>
                <w:sz w:val="24"/>
                <w:szCs w:val="24"/>
                <w:lang w:val="en-GB"/>
              </w:rPr>
              <w:t>.</w:t>
            </w:r>
          </w:p>
        </w:tc>
      </w:tr>
      <w:tr w:rsidR="00865814" w:rsidRPr="0029408A" w14:paraId="3BBDFF2A" w14:textId="77777777" w:rsidTr="0029408A">
        <w:tc>
          <w:tcPr>
            <w:tcW w:w="704" w:type="dxa"/>
            <w:shd w:val="clear" w:color="auto" w:fill="auto"/>
          </w:tcPr>
          <w:p w14:paraId="7DF52AB0"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41738AC3" w14:textId="77777777" w:rsidR="00865814" w:rsidRPr="0029408A" w:rsidRDefault="00865814"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b/>
                <w:color w:val="000000"/>
                <w:sz w:val="24"/>
                <w:szCs w:val="24"/>
                <w:lang w:val="en-GB"/>
              </w:rPr>
              <w:t xml:space="preserve"> - </w:t>
            </w:r>
            <w:r w:rsidR="00646099" w:rsidRPr="0029408A">
              <w:rPr>
                <w:rFonts w:ascii="Times New Roman" w:eastAsia="Arial Unicode MS" w:hAnsi="Times New Roman"/>
                <w:color w:val="000000"/>
                <w:sz w:val="24"/>
                <w:szCs w:val="24"/>
                <w:lang w:val="en-GB"/>
              </w:rPr>
              <w:t>of which</w:t>
            </w:r>
            <w:r w:rsidRPr="0029408A">
              <w:rPr>
                <w:rFonts w:ascii="Times New Roman" w:eastAsia="Arial Unicode MS" w:hAnsi="Times New Roman"/>
                <w:color w:val="000000"/>
                <w:sz w:val="24"/>
                <w:szCs w:val="24"/>
                <w:lang w:val="en-GB"/>
              </w:rPr>
              <w:t>:</w:t>
            </w:r>
            <w:r w:rsidR="00646099" w:rsidRPr="0029408A">
              <w:rPr>
                <w:rFonts w:ascii="Times New Roman" w:eastAsia="Arial Unicode MS" w:hAnsi="Times New Roman"/>
                <w:color w:val="000000"/>
                <w:sz w:val="24"/>
                <w:szCs w:val="24"/>
                <w:lang w:val="en-GB"/>
              </w:rPr>
              <w:t xml:space="preserve"> buffer for systemically important institutions </w:t>
            </w:r>
            <w:r w:rsidRPr="0029408A">
              <w:rPr>
                <w:rFonts w:ascii="Times New Roman" w:eastAsia="Arial Unicode MS" w:hAnsi="Times New Roman"/>
                <w:color w:val="000000"/>
                <w:sz w:val="24"/>
                <w:szCs w:val="24"/>
                <w:lang w:val="en-GB"/>
              </w:rPr>
              <w:t>(O-SII)</w:t>
            </w:r>
          </w:p>
        </w:tc>
        <w:tc>
          <w:tcPr>
            <w:tcW w:w="1276" w:type="dxa"/>
            <w:shd w:val="clear" w:color="auto" w:fill="auto"/>
          </w:tcPr>
          <w:p w14:paraId="089F392E"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5F61411F" w14:textId="77777777" w:rsidR="00865814" w:rsidRPr="0029408A" w:rsidRDefault="00865814" w:rsidP="00865814">
            <w:pPr>
              <w:rPr>
                <w:rFonts w:ascii="Times New Roman" w:hAnsi="Times New Roman"/>
                <w:color w:val="000000"/>
                <w:sz w:val="24"/>
                <w:szCs w:val="24"/>
                <w:lang w:val="en-GB"/>
              </w:rPr>
            </w:pPr>
          </w:p>
        </w:tc>
        <w:tc>
          <w:tcPr>
            <w:tcW w:w="6100" w:type="dxa"/>
            <w:shd w:val="clear" w:color="auto" w:fill="auto"/>
          </w:tcPr>
          <w:p w14:paraId="310C30EF" w14:textId="77777777" w:rsidR="00865814" w:rsidRPr="0029408A" w:rsidRDefault="00AF279C"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It reflects the value in row 59 (expressed as a percentage of risk-weighted assets) relating to the O-SII buffer.</w:t>
            </w:r>
          </w:p>
        </w:tc>
      </w:tr>
      <w:tr w:rsidR="00865814" w:rsidRPr="0029408A" w14:paraId="151146BF" w14:textId="77777777" w:rsidTr="0029408A">
        <w:tc>
          <w:tcPr>
            <w:tcW w:w="704" w:type="dxa"/>
            <w:shd w:val="clear" w:color="auto" w:fill="auto"/>
          </w:tcPr>
          <w:p w14:paraId="02F2CCE5"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37AB307A" w14:textId="77777777" w:rsidR="00865814" w:rsidRPr="0029408A" w:rsidRDefault="002642EB"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Common Equity Tier 1 capital available to meet buffer requirements (as a percentage of the value of the risk exposure)</w:t>
            </w:r>
          </w:p>
        </w:tc>
        <w:tc>
          <w:tcPr>
            <w:tcW w:w="1276" w:type="dxa"/>
            <w:shd w:val="clear" w:color="auto" w:fill="auto"/>
          </w:tcPr>
          <w:p w14:paraId="3D6F9682" w14:textId="77777777" w:rsidR="00865814" w:rsidRPr="0029408A" w:rsidRDefault="00865814" w:rsidP="00865814">
            <w:pPr>
              <w:rPr>
                <w:rFonts w:ascii="Times New Roman" w:eastAsia="Arial Unicode MS" w:hAnsi="Times New Roman"/>
                <w:color w:val="000000"/>
                <w:sz w:val="24"/>
                <w:szCs w:val="24"/>
                <w:lang w:val="en-GB"/>
              </w:rPr>
            </w:pPr>
          </w:p>
        </w:tc>
        <w:tc>
          <w:tcPr>
            <w:tcW w:w="2694" w:type="dxa"/>
            <w:shd w:val="clear" w:color="auto" w:fill="auto"/>
          </w:tcPr>
          <w:p w14:paraId="7CEDD011" w14:textId="77777777" w:rsidR="00865814" w:rsidRPr="0029408A" w:rsidRDefault="00865814" w:rsidP="00865814">
            <w:pPr>
              <w:rPr>
                <w:rFonts w:ascii="Times New Roman" w:eastAsia="Arial Unicode MS" w:hAnsi="Times New Roman"/>
                <w:color w:val="000000"/>
                <w:sz w:val="24"/>
                <w:szCs w:val="24"/>
                <w:lang w:val="en-GB"/>
              </w:rPr>
            </w:pPr>
          </w:p>
        </w:tc>
        <w:tc>
          <w:tcPr>
            <w:tcW w:w="6100" w:type="dxa"/>
            <w:shd w:val="clear" w:color="auto" w:fill="auto"/>
          </w:tcPr>
          <w:p w14:paraId="4A540A05" w14:textId="77777777" w:rsidR="00865814" w:rsidRPr="0029408A" w:rsidRDefault="00217EC6"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It reflects the Common Equity Tier 1 capital available to meet the buffer requirements (as a percentage of the value of the risk exposure). It will be calculated as the bank's Common Equity Tier 1 capital minus all Common Equity Tier 1 capital items used to meet the bank's Equity Tier 1 capital requirements and the total capital requirements of the bank.</w:t>
            </w:r>
          </w:p>
        </w:tc>
      </w:tr>
      <w:tr w:rsidR="00865814" w:rsidRPr="0029408A" w14:paraId="2474A39A" w14:textId="77777777" w:rsidTr="0029408A">
        <w:tc>
          <w:tcPr>
            <w:tcW w:w="15027" w:type="dxa"/>
            <w:gridSpan w:val="5"/>
            <w:shd w:val="clear" w:color="auto" w:fill="auto"/>
          </w:tcPr>
          <w:p w14:paraId="52D3DA90" w14:textId="77777777" w:rsidR="00865814" w:rsidRPr="0029408A" w:rsidRDefault="00ED029F" w:rsidP="00865814">
            <w:pPr>
              <w:rPr>
                <w:rFonts w:ascii="Times New Roman" w:hAnsi="Times New Roman"/>
                <w:b/>
                <w:color w:val="000000"/>
                <w:sz w:val="24"/>
                <w:szCs w:val="24"/>
                <w:lang w:val="en-GB"/>
              </w:rPr>
            </w:pPr>
            <w:r w:rsidRPr="0029408A">
              <w:rPr>
                <w:rFonts w:ascii="Times New Roman" w:hAnsi="Times New Roman"/>
                <w:b/>
                <w:color w:val="000000"/>
                <w:sz w:val="24"/>
                <w:szCs w:val="24"/>
                <w:lang w:val="en-GB"/>
              </w:rPr>
              <w:t>Amounts below deduction thresholds (before risk weighting)</w:t>
            </w:r>
          </w:p>
        </w:tc>
      </w:tr>
      <w:tr w:rsidR="00865814" w:rsidRPr="0029408A" w14:paraId="6353E328" w14:textId="77777777" w:rsidTr="0029408A">
        <w:tc>
          <w:tcPr>
            <w:tcW w:w="704" w:type="dxa"/>
            <w:shd w:val="clear" w:color="auto" w:fill="auto"/>
          </w:tcPr>
          <w:p w14:paraId="29B503E4"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20631D78" w14:textId="77777777" w:rsidR="00865814" w:rsidRPr="0029408A" w:rsidRDefault="00CC3302"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Direct and indirect capital holdings of financial sector entities in which the bank does not hold a significant investment (value below the 10% threshold and excluding eligible short positions)</w:t>
            </w:r>
          </w:p>
        </w:tc>
        <w:tc>
          <w:tcPr>
            <w:tcW w:w="1276" w:type="dxa"/>
            <w:shd w:val="clear" w:color="auto" w:fill="auto"/>
          </w:tcPr>
          <w:p w14:paraId="156E3DB1" w14:textId="77777777" w:rsidR="00865814" w:rsidRPr="0029408A" w:rsidRDefault="00865814" w:rsidP="00865814">
            <w:pPr>
              <w:rPr>
                <w:rFonts w:ascii="Times New Roman" w:eastAsia="Arial Unicode MS" w:hAnsi="Times New Roman"/>
                <w:color w:val="000000"/>
                <w:sz w:val="24"/>
                <w:szCs w:val="24"/>
                <w:lang w:val="en-GB"/>
              </w:rPr>
            </w:pPr>
          </w:p>
        </w:tc>
        <w:tc>
          <w:tcPr>
            <w:tcW w:w="2694" w:type="dxa"/>
            <w:shd w:val="clear" w:color="auto" w:fill="auto"/>
          </w:tcPr>
          <w:p w14:paraId="41417283" w14:textId="77777777" w:rsidR="00865814" w:rsidRPr="0029408A" w:rsidRDefault="00CC3302" w:rsidP="00865814">
            <w:pPr>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 xml:space="preserve">P.30 </w:t>
            </w:r>
            <w:proofErr w:type="spellStart"/>
            <w:r w:rsidRPr="0029408A">
              <w:rPr>
                <w:rFonts w:ascii="Times New Roman" w:eastAsia="Arial Unicode MS" w:hAnsi="Times New Roman"/>
                <w:color w:val="000000"/>
                <w:sz w:val="24"/>
                <w:szCs w:val="24"/>
                <w:lang w:val="en-GB"/>
              </w:rPr>
              <w:t>subp</w:t>
            </w:r>
            <w:proofErr w:type="spellEnd"/>
            <w:r w:rsidRPr="0029408A">
              <w:rPr>
                <w:rFonts w:ascii="Times New Roman" w:eastAsia="Arial Unicode MS" w:hAnsi="Times New Roman"/>
                <w:color w:val="000000"/>
                <w:sz w:val="24"/>
                <w:szCs w:val="24"/>
                <w:lang w:val="en-GB"/>
              </w:rPr>
              <w:t>. 7), p.55-61 p.90-95, p.100 subp.3) and p.104-109 of Regulation 109/2018</w:t>
            </w:r>
          </w:p>
        </w:tc>
        <w:tc>
          <w:tcPr>
            <w:tcW w:w="6100" w:type="dxa"/>
            <w:shd w:val="clear" w:color="auto" w:fill="auto"/>
          </w:tcPr>
          <w:p w14:paraId="06D2E2CF" w14:textId="77777777" w:rsidR="00865814" w:rsidRPr="0029408A" w:rsidRDefault="00716926"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 xml:space="preserve">It reflects the direct and indirect capital holdings of entities in the financial sector in which the bank does not hold a significant investment (value below the 10% threshold and excluding eligible short positions) in accordance with p.30 </w:t>
            </w:r>
            <w:proofErr w:type="spellStart"/>
            <w:r w:rsidRPr="0029408A">
              <w:rPr>
                <w:rFonts w:ascii="Times New Roman" w:eastAsia="Arial Unicode MS" w:hAnsi="Times New Roman"/>
                <w:color w:val="000000"/>
                <w:sz w:val="24"/>
                <w:szCs w:val="24"/>
                <w:lang w:val="en-GB"/>
              </w:rPr>
              <w:t>subp</w:t>
            </w:r>
            <w:proofErr w:type="spellEnd"/>
            <w:r w:rsidRPr="0029408A">
              <w:rPr>
                <w:rFonts w:ascii="Times New Roman" w:eastAsia="Arial Unicode MS" w:hAnsi="Times New Roman"/>
                <w:color w:val="000000"/>
                <w:sz w:val="24"/>
                <w:szCs w:val="24"/>
                <w:lang w:val="en-GB"/>
              </w:rPr>
              <w:t>. 7), p.55-61 p.90-95, p.100 subp.3) and p.104-109 of Regulation 109/2018.</w:t>
            </w:r>
          </w:p>
        </w:tc>
      </w:tr>
      <w:tr w:rsidR="00865814" w:rsidRPr="0029408A" w14:paraId="0FE54D20" w14:textId="77777777" w:rsidTr="0029408A">
        <w:tc>
          <w:tcPr>
            <w:tcW w:w="704" w:type="dxa"/>
            <w:shd w:val="clear" w:color="auto" w:fill="auto"/>
          </w:tcPr>
          <w:p w14:paraId="243E6C12"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09C4AFA8" w14:textId="77777777" w:rsidR="00865814" w:rsidRPr="0029408A" w:rsidRDefault="004F3D58"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Direct and indirect holdings of banks' Common Equity Tier 1 capital instruments of financial sector entities in which the bank holds a significant investment (value below the 10% threshold and excluding eligible short positions)</w:t>
            </w:r>
          </w:p>
        </w:tc>
        <w:tc>
          <w:tcPr>
            <w:tcW w:w="1276" w:type="dxa"/>
            <w:shd w:val="clear" w:color="auto" w:fill="auto"/>
          </w:tcPr>
          <w:p w14:paraId="59936D96" w14:textId="77777777" w:rsidR="00865814" w:rsidRPr="0029408A" w:rsidRDefault="00865814" w:rsidP="00865814">
            <w:pPr>
              <w:rPr>
                <w:rFonts w:ascii="Times New Roman" w:eastAsia="Arial Unicode MS" w:hAnsi="Times New Roman"/>
                <w:color w:val="000000"/>
                <w:sz w:val="24"/>
                <w:szCs w:val="24"/>
                <w:lang w:val="en-GB"/>
              </w:rPr>
            </w:pPr>
          </w:p>
        </w:tc>
        <w:tc>
          <w:tcPr>
            <w:tcW w:w="2694" w:type="dxa"/>
            <w:shd w:val="clear" w:color="auto" w:fill="auto"/>
          </w:tcPr>
          <w:p w14:paraId="07DFFE1E" w14:textId="77777777" w:rsidR="00865814" w:rsidRPr="0029408A" w:rsidRDefault="00BF28D4" w:rsidP="00865814">
            <w:pPr>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 xml:space="preserve">P.30 </w:t>
            </w:r>
            <w:proofErr w:type="spellStart"/>
            <w:r w:rsidRPr="0029408A">
              <w:rPr>
                <w:rFonts w:ascii="Times New Roman" w:eastAsia="Arial Unicode MS" w:hAnsi="Times New Roman"/>
                <w:color w:val="000000"/>
                <w:sz w:val="24"/>
                <w:szCs w:val="24"/>
                <w:lang w:val="en-GB"/>
              </w:rPr>
              <w:t>subp</w:t>
            </w:r>
            <w:proofErr w:type="spellEnd"/>
            <w:r w:rsidRPr="0029408A">
              <w:rPr>
                <w:rFonts w:ascii="Times New Roman" w:eastAsia="Arial Unicode MS" w:hAnsi="Times New Roman"/>
                <w:color w:val="000000"/>
                <w:sz w:val="24"/>
                <w:szCs w:val="24"/>
                <w:lang w:val="en-GB"/>
              </w:rPr>
              <w:t>. 8), p.55 and p.63-67 of Regulation 109/2018</w:t>
            </w:r>
          </w:p>
        </w:tc>
        <w:tc>
          <w:tcPr>
            <w:tcW w:w="6100" w:type="dxa"/>
            <w:shd w:val="clear" w:color="auto" w:fill="auto"/>
          </w:tcPr>
          <w:p w14:paraId="37248A95" w14:textId="77777777" w:rsidR="00865814" w:rsidRPr="0029408A" w:rsidRDefault="00E86C7F"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 xml:space="preserve">It reflects the direct and indirect holdings of banks' Common Equity Tier 1 capital instruments of financial sector entities in which the bank holds a significant investment (value below the 10% threshold and excluding eligible short positions) in accordance with p.30 </w:t>
            </w:r>
            <w:proofErr w:type="spellStart"/>
            <w:r w:rsidRPr="0029408A">
              <w:rPr>
                <w:rFonts w:ascii="Times New Roman" w:eastAsia="Arial Unicode MS" w:hAnsi="Times New Roman"/>
                <w:color w:val="000000"/>
                <w:sz w:val="24"/>
                <w:szCs w:val="24"/>
                <w:lang w:val="en-GB"/>
              </w:rPr>
              <w:t>subp</w:t>
            </w:r>
            <w:proofErr w:type="spellEnd"/>
            <w:r w:rsidRPr="0029408A">
              <w:rPr>
                <w:rFonts w:ascii="Times New Roman" w:eastAsia="Arial Unicode MS" w:hAnsi="Times New Roman"/>
                <w:color w:val="000000"/>
                <w:sz w:val="24"/>
                <w:szCs w:val="24"/>
                <w:lang w:val="en-GB"/>
              </w:rPr>
              <w:t>. 8), p.55 and p.63-67 of Regulation 109/2018</w:t>
            </w:r>
          </w:p>
        </w:tc>
      </w:tr>
      <w:tr w:rsidR="00865814" w:rsidRPr="0029408A" w14:paraId="744121CB" w14:textId="77777777" w:rsidTr="0029408A">
        <w:tc>
          <w:tcPr>
            <w:tcW w:w="704" w:type="dxa"/>
            <w:shd w:val="clear" w:color="auto" w:fill="auto"/>
          </w:tcPr>
          <w:p w14:paraId="6ACC73AD"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407EB6BF" w14:textId="77777777" w:rsidR="00865814" w:rsidRPr="0029408A" w:rsidRDefault="00F83879"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Deferred tax liabilities resulting from temporary differences (value below the 10% threshold, excluding related tax ob</w:t>
            </w:r>
            <w:r w:rsidR="00B4485A" w:rsidRPr="0029408A">
              <w:rPr>
                <w:rFonts w:ascii="Times New Roman" w:eastAsia="Arial Unicode MS" w:hAnsi="Times New Roman"/>
                <w:color w:val="000000"/>
                <w:sz w:val="24"/>
                <w:szCs w:val="24"/>
                <w:lang w:val="en-GB"/>
              </w:rPr>
              <w:t>ligations when the conditions from</w:t>
            </w:r>
            <w:r w:rsidRPr="0029408A">
              <w:rPr>
                <w:rFonts w:ascii="Times New Roman" w:eastAsia="Arial Unicode MS" w:hAnsi="Times New Roman"/>
                <w:color w:val="000000"/>
                <w:sz w:val="24"/>
                <w:szCs w:val="24"/>
                <w:lang w:val="en-GB"/>
              </w:rPr>
              <w:t xml:space="preserve"> p.40 of Regulation 109/2018 are met)</w:t>
            </w:r>
          </w:p>
        </w:tc>
        <w:tc>
          <w:tcPr>
            <w:tcW w:w="1276" w:type="dxa"/>
            <w:shd w:val="clear" w:color="auto" w:fill="auto"/>
          </w:tcPr>
          <w:p w14:paraId="5835A3D0"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1CDA4805" w14:textId="77777777" w:rsidR="00865814" w:rsidRPr="0029408A" w:rsidRDefault="00E14C9F"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 xml:space="preserve">P.30 </w:t>
            </w:r>
            <w:proofErr w:type="spellStart"/>
            <w:r w:rsidRPr="0029408A">
              <w:rPr>
                <w:rFonts w:ascii="Times New Roman" w:eastAsia="Arial Unicode MS" w:hAnsi="Times New Roman"/>
                <w:color w:val="000000"/>
                <w:sz w:val="24"/>
                <w:szCs w:val="24"/>
                <w:lang w:val="en-GB"/>
              </w:rPr>
              <w:t>subp</w:t>
            </w:r>
            <w:proofErr w:type="spellEnd"/>
            <w:r w:rsidRPr="0029408A">
              <w:rPr>
                <w:rFonts w:ascii="Times New Roman" w:eastAsia="Arial Unicode MS" w:hAnsi="Times New Roman"/>
                <w:color w:val="000000"/>
                <w:sz w:val="24"/>
                <w:szCs w:val="24"/>
                <w:lang w:val="en-GB"/>
              </w:rPr>
              <w:t>. 3), p.38-43, p.63 - 67 of Regulation 109/2018</w:t>
            </w:r>
          </w:p>
        </w:tc>
        <w:tc>
          <w:tcPr>
            <w:tcW w:w="6100" w:type="dxa"/>
            <w:shd w:val="clear" w:color="auto" w:fill="auto"/>
          </w:tcPr>
          <w:p w14:paraId="7D09990A" w14:textId="77777777" w:rsidR="00865814" w:rsidRPr="0029408A" w:rsidRDefault="00B4485A"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deferred tax liabilities resulting from temporary differences (value below the 10% threshold, excluding the related tax obligations when the conditions from p.40 of Regulation 109/2018 are met) in accordance with p.30 </w:t>
            </w:r>
            <w:proofErr w:type="spellStart"/>
            <w:r w:rsidRPr="0029408A">
              <w:rPr>
                <w:rFonts w:ascii="Times New Roman" w:hAnsi="Times New Roman"/>
                <w:color w:val="000000"/>
                <w:sz w:val="24"/>
                <w:szCs w:val="24"/>
                <w:lang w:val="en-GB"/>
              </w:rPr>
              <w:t>subp</w:t>
            </w:r>
            <w:proofErr w:type="spellEnd"/>
            <w:r w:rsidRPr="0029408A">
              <w:rPr>
                <w:rFonts w:ascii="Times New Roman" w:hAnsi="Times New Roman"/>
                <w:color w:val="000000"/>
                <w:sz w:val="24"/>
                <w:szCs w:val="24"/>
                <w:lang w:val="en-GB"/>
              </w:rPr>
              <w:t>. 3), p.38-43, p.63 - 67 of Regulation 109/2018.</w:t>
            </w:r>
          </w:p>
        </w:tc>
      </w:tr>
      <w:tr w:rsidR="00865814" w:rsidRPr="0029408A" w14:paraId="688F760E" w14:textId="77777777" w:rsidTr="0029408A">
        <w:tc>
          <w:tcPr>
            <w:tcW w:w="15027" w:type="dxa"/>
            <w:gridSpan w:val="5"/>
            <w:shd w:val="clear" w:color="auto" w:fill="auto"/>
          </w:tcPr>
          <w:p w14:paraId="01BA710B" w14:textId="77777777" w:rsidR="00865814" w:rsidRPr="0029408A" w:rsidRDefault="00B0680D" w:rsidP="00865814">
            <w:pPr>
              <w:rPr>
                <w:rFonts w:ascii="Times New Roman" w:hAnsi="Times New Roman"/>
                <w:b/>
                <w:color w:val="000000"/>
                <w:sz w:val="24"/>
                <w:szCs w:val="24"/>
                <w:lang w:val="en-GB"/>
              </w:rPr>
            </w:pPr>
            <w:r w:rsidRPr="0029408A">
              <w:rPr>
                <w:rFonts w:ascii="Times New Roman" w:hAnsi="Times New Roman"/>
                <w:b/>
                <w:color w:val="000000"/>
                <w:sz w:val="24"/>
                <w:szCs w:val="24"/>
                <w:lang w:val="en-GB"/>
              </w:rPr>
              <w:t>Applicable ceilings for the inclusion of provisions in Equity Tier 2 capital</w:t>
            </w:r>
          </w:p>
        </w:tc>
      </w:tr>
      <w:tr w:rsidR="00865814" w:rsidRPr="0029408A" w14:paraId="01B1C07A" w14:textId="77777777" w:rsidTr="0029408A">
        <w:tc>
          <w:tcPr>
            <w:tcW w:w="704" w:type="dxa"/>
            <w:shd w:val="clear" w:color="auto" w:fill="auto"/>
          </w:tcPr>
          <w:p w14:paraId="62B0E6BB"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37907724" w14:textId="77777777" w:rsidR="00865814" w:rsidRPr="0029408A" w:rsidRDefault="00154569"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 xml:space="preserve">Credit risk adjustments included in </w:t>
            </w:r>
            <w:r w:rsidRPr="0029408A">
              <w:rPr>
                <w:rFonts w:ascii="Times New Roman" w:hAnsi="Times New Roman"/>
                <w:color w:val="000000"/>
                <w:sz w:val="24"/>
                <w:szCs w:val="24"/>
                <w:lang w:val="en-GB"/>
              </w:rPr>
              <w:t>Equity Tier 2 capital</w:t>
            </w:r>
            <w:r w:rsidRPr="0029408A">
              <w:rPr>
                <w:rFonts w:ascii="Times New Roman" w:eastAsia="Arial Unicode MS" w:hAnsi="Times New Roman"/>
                <w:color w:val="000000"/>
                <w:sz w:val="24"/>
                <w:szCs w:val="24"/>
                <w:lang w:val="en-GB"/>
              </w:rPr>
              <w:t xml:space="preserve">, </w:t>
            </w:r>
            <w:proofErr w:type="gramStart"/>
            <w:r w:rsidRPr="0029408A">
              <w:rPr>
                <w:rFonts w:ascii="Times New Roman" w:eastAsia="Arial Unicode MS" w:hAnsi="Times New Roman"/>
                <w:color w:val="000000"/>
                <w:sz w:val="24"/>
                <w:szCs w:val="24"/>
                <w:lang w:val="en-GB"/>
              </w:rPr>
              <w:t>taking into account</w:t>
            </w:r>
            <w:proofErr w:type="gramEnd"/>
            <w:r w:rsidRPr="0029408A">
              <w:rPr>
                <w:rFonts w:ascii="Times New Roman" w:eastAsia="Arial Unicode MS" w:hAnsi="Times New Roman"/>
                <w:color w:val="000000"/>
                <w:sz w:val="24"/>
                <w:szCs w:val="24"/>
                <w:lang w:val="en-GB"/>
              </w:rPr>
              <w:t xml:space="preserve"> exposures subject to the standardized approach (before the ceiling is applied)</w:t>
            </w:r>
          </w:p>
        </w:tc>
        <w:tc>
          <w:tcPr>
            <w:tcW w:w="1276" w:type="dxa"/>
            <w:shd w:val="clear" w:color="auto" w:fill="auto"/>
          </w:tcPr>
          <w:p w14:paraId="3C376670"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34619FAB" w14:textId="77777777" w:rsidR="00865814" w:rsidRPr="0029408A" w:rsidRDefault="00154569"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P.96 subp.3) of Regulation 109/2018</w:t>
            </w:r>
          </w:p>
        </w:tc>
        <w:tc>
          <w:tcPr>
            <w:tcW w:w="6100" w:type="dxa"/>
            <w:shd w:val="clear" w:color="auto" w:fill="auto"/>
          </w:tcPr>
          <w:p w14:paraId="203739D1" w14:textId="77777777" w:rsidR="00865814" w:rsidRPr="0029408A" w:rsidRDefault="00154569"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It reflects the adjustments for credit risk included in Equity Tier 2 capital, </w:t>
            </w:r>
            <w:proofErr w:type="gramStart"/>
            <w:r w:rsidRPr="0029408A">
              <w:rPr>
                <w:rFonts w:ascii="Times New Roman" w:hAnsi="Times New Roman"/>
                <w:color w:val="000000"/>
                <w:sz w:val="24"/>
                <w:szCs w:val="24"/>
                <w:lang w:val="en-GB"/>
              </w:rPr>
              <w:t>taking into account</w:t>
            </w:r>
            <w:proofErr w:type="gramEnd"/>
            <w:r w:rsidRPr="0029408A">
              <w:rPr>
                <w:rFonts w:ascii="Times New Roman" w:hAnsi="Times New Roman"/>
                <w:color w:val="000000"/>
                <w:sz w:val="24"/>
                <w:szCs w:val="24"/>
                <w:lang w:val="en-GB"/>
              </w:rPr>
              <w:t xml:space="preserve"> the exposures that are subject to the standardized approach (before the ceiling is applied) in accordance with p.96 subp.3) of Regulation 109/2018.</w:t>
            </w:r>
          </w:p>
        </w:tc>
      </w:tr>
      <w:tr w:rsidR="00865814" w:rsidRPr="0029408A" w14:paraId="0F39E711" w14:textId="77777777" w:rsidTr="0029408A">
        <w:trPr>
          <w:trHeight w:val="1205"/>
        </w:trPr>
        <w:tc>
          <w:tcPr>
            <w:tcW w:w="704" w:type="dxa"/>
            <w:shd w:val="clear" w:color="auto" w:fill="auto"/>
          </w:tcPr>
          <w:p w14:paraId="1B31A89E" w14:textId="77777777" w:rsidR="00865814" w:rsidRPr="0029408A" w:rsidRDefault="00865814" w:rsidP="0029408A">
            <w:pPr>
              <w:pStyle w:val="ListParagraph"/>
              <w:numPr>
                <w:ilvl w:val="0"/>
                <w:numId w:val="49"/>
              </w:numPr>
              <w:tabs>
                <w:tab w:val="left" w:pos="594"/>
              </w:tabs>
              <w:spacing w:after="160" w:line="259" w:lineRule="auto"/>
              <w:ind w:left="311" w:hanging="142"/>
              <w:rPr>
                <w:color w:val="000000"/>
              </w:rPr>
            </w:pPr>
          </w:p>
        </w:tc>
        <w:tc>
          <w:tcPr>
            <w:tcW w:w="4253" w:type="dxa"/>
            <w:shd w:val="clear" w:color="auto" w:fill="auto"/>
          </w:tcPr>
          <w:p w14:paraId="5B1E73E4" w14:textId="77777777" w:rsidR="00865814" w:rsidRPr="0029408A" w:rsidRDefault="00154569" w:rsidP="0029408A">
            <w:pPr>
              <w:jc w:val="both"/>
              <w:rPr>
                <w:rFonts w:ascii="Times New Roman" w:eastAsia="Arial Unicode MS" w:hAnsi="Times New Roman"/>
                <w:color w:val="000000"/>
                <w:sz w:val="24"/>
                <w:szCs w:val="24"/>
                <w:lang w:val="en-GB"/>
              </w:rPr>
            </w:pPr>
            <w:r w:rsidRPr="0029408A">
              <w:rPr>
                <w:rFonts w:ascii="Times New Roman" w:eastAsia="Arial Unicode MS" w:hAnsi="Times New Roman"/>
                <w:color w:val="000000"/>
                <w:sz w:val="24"/>
                <w:szCs w:val="24"/>
                <w:lang w:val="en-GB"/>
              </w:rPr>
              <w:t xml:space="preserve">Ceiling on the inclusion of credit risk adjustments in </w:t>
            </w:r>
            <w:r w:rsidRPr="0029408A">
              <w:rPr>
                <w:rFonts w:ascii="Times New Roman" w:hAnsi="Times New Roman"/>
                <w:color w:val="000000"/>
                <w:sz w:val="24"/>
                <w:szCs w:val="24"/>
                <w:lang w:val="en-GB"/>
              </w:rPr>
              <w:t>Equity Tier 2 capital</w:t>
            </w:r>
            <w:r w:rsidRPr="0029408A">
              <w:rPr>
                <w:rFonts w:ascii="Times New Roman" w:eastAsia="Arial Unicode MS" w:hAnsi="Times New Roman"/>
                <w:color w:val="000000"/>
                <w:sz w:val="24"/>
                <w:szCs w:val="24"/>
                <w:lang w:val="en-GB"/>
              </w:rPr>
              <w:t xml:space="preserve"> according to the standardized approach</w:t>
            </w:r>
          </w:p>
        </w:tc>
        <w:tc>
          <w:tcPr>
            <w:tcW w:w="1276" w:type="dxa"/>
            <w:shd w:val="clear" w:color="auto" w:fill="auto"/>
          </w:tcPr>
          <w:p w14:paraId="3A50CF0A" w14:textId="77777777" w:rsidR="00865814" w:rsidRPr="0029408A" w:rsidRDefault="00865814" w:rsidP="00865814">
            <w:pPr>
              <w:rPr>
                <w:rFonts w:ascii="Times New Roman" w:hAnsi="Times New Roman"/>
                <w:color w:val="000000"/>
                <w:sz w:val="24"/>
                <w:szCs w:val="24"/>
                <w:lang w:val="en-GB"/>
              </w:rPr>
            </w:pPr>
          </w:p>
        </w:tc>
        <w:tc>
          <w:tcPr>
            <w:tcW w:w="2694" w:type="dxa"/>
            <w:shd w:val="clear" w:color="auto" w:fill="auto"/>
          </w:tcPr>
          <w:p w14:paraId="49238AF9" w14:textId="77777777" w:rsidR="00865814" w:rsidRPr="0029408A" w:rsidRDefault="00154569" w:rsidP="00865814">
            <w:pPr>
              <w:rPr>
                <w:rFonts w:ascii="Times New Roman" w:hAnsi="Times New Roman"/>
                <w:color w:val="000000"/>
                <w:sz w:val="24"/>
                <w:szCs w:val="24"/>
                <w:lang w:val="en-GB"/>
              </w:rPr>
            </w:pPr>
            <w:r w:rsidRPr="0029408A">
              <w:rPr>
                <w:rFonts w:ascii="Times New Roman" w:eastAsia="Arial Unicode MS" w:hAnsi="Times New Roman"/>
                <w:color w:val="000000"/>
                <w:sz w:val="24"/>
                <w:szCs w:val="24"/>
                <w:lang w:val="en-GB"/>
              </w:rPr>
              <w:t>P.96 subp.3) of Regulation 109/2018</w:t>
            </w:r>
          </w:p>
        </w:tc>
        <w:tc>
          <w:tcPr>
            <w:tcW w:w="6100" w:type="dxa"/>
            <w:shd w:val="clear" w:color="auto" w:fill="auto"/>
          </w:tcPr>
          <w:p w14:paraId="73975236" w14:textId="77777777" w:rsidR="00865814" w:rsidRPr="0029408A" w:rsidRDefault="00154569" w:rsidP="00865814">
            <w:pPr>
              <w:rPr>
                <w:rFonts w:ascii="Times New Roman" w:hAnsi="Times New Roman"/>
                <w:color w:val="000000"/>
                <w:sz w:val="24"/>
                <w:szCs w:val="24"/>
                <w:lang w:val="en-GB"/>
              </w:rPr>
            </w:pPr>
            <w:r w:rsidRPr="0029408A">
              <w:rPr>
                <w:rFonts w:ascii="Times New Roman" w:hAnsi="Times New Roman"/>
                <w:color w:val="000000"/>
                <w:sz w:val="24"/>
                <w:szCs w:val="24"/>
                <w:lang w:val="en-GB"/>
              </w:rPr>
              <w:t>It reflects the ceiling for including credit risk adjustments in Equity Tier 2 capital according to the standardized approach in accordance with p.96 subp.3) of Regulation 109/2018.</w:t>
            </w:r>
          </w:p>
        </w:tc>
      </w:tr>
    </w:tbl>
    <w:p w14:paraId="3B623DFC" w14:textId="77777777" w:rsidR="008E08C4" w:rsidRPr="0029408A" w:rsidRDefault="008E08C4" w:rsidP="008E08C4">
      <w:pPr>
        <w:rPr>
          <w:rFonts w:ascii="Times New Roman" w:hAnsi="Times New Roman"/>
          <w:b/>
          <w:color w:val="000000"/>
          <w:sz w:val="24"/>
          <w:szCs w:val="24"/>
          <w:lang w:val="en-GB"/>
        </w:rPr>
      </w:pPr>
      <w:r w:rsidRPr="0029408A">
        <w:rPr>
          <w:rFonts w:ascii="Times New Roman" w:hAnsi="Times New Roman"/>
          <w:b/>
          <w:color w:val="000000"/>
          <w:sz w:val="24"/>
          <w:szCs w:val="24"/>
          <w:lang w:val="en-GB"/>
        </w:rPr>
        <w:br w:type="page"/>
      </w:r>
    </w:p>
    <w:p w14:paraId="42F0B8F9" w14:textId="77777777" w:rsidR="006E5129" w:rsidRPr="0029408A" w:rsidRDefault="006E5129" w:rsidP="006E5129">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lastRenderedPageBreak/>
        <w:t xml:space="preserve">Annex No. 11 </w:t>
      </w:r>
    </w:p>
    <w:p w14:paraId="27F50CCA" w14:textId="77777777" w:rsidR="006E5129" w:rsidRPr="0029408A" w:rsidRDefault="006E5129" w:rsidP="006E5129">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to the </w:t>
      </w:r>
      <w:r w:rsidRPr="0029408A">
        <w:rPr>
          <w:rFonts w:ascii="Times New Roman" w:eastAsia="Times New Roman" w:hAnsi="Times New Roman"/>
          <w:bCs/>
          <w:color w:val="000000"/>
          <w:sz w:val="24"/>
          <w:szCs w:val="24"/>
          <w:lang w:val="en-GB"/>
        </w:rPr>
        <w:t>Regulation on the requirements for publication</w:t>
      </w:r>
    </w:p>
    <w:p w14:paraId="7EF85D2C" w14:textId="77777777" w:rsidR="003D019F" w:rsidRPr="0029408A" w:rsidRDefault="006E5129" w:rsidP="006E5129">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bCs/>
          <w:color w:val="000000"/>
          <w:sz w:val="24"/>
          <w:szCs w:val="24"/>
          <w:lang w:val="en-GB"/>
        </w:rPr>
        <w:t>of information by banks</w:t>
      </w:r>
      <w:r w:rsidR="00FF5300" w:rsidRPr="0029408A">
        <w:rPr>
          <w:rFonts w:ascii="Times New Roman" w:eastAsia="Times New Roman" w:hAnsi="Times New Roman"/>
          <w:color w:val="000000"/>
          <w:sz w:val="24"/>
          <w:szCs w:val="24"/>
          <w:lang w:val="en-GB" w:eastAsia="ru-RU"/>
        </w:rPr>
        <w:t xml:space="preserve"> </w:t>
      </w:r>
    </w:p>
    <w:p w14:paraId="191B5F3E" w14:textId="77777777" w:rsidR="008E08C4" w:rsidRPr="0029408A" w:rsidRDefault="008E08C4" w:rsidP="008E08C4">
      <w:pPr>
        <w:rPr>
          <w:rFonts w:ascii="Times New Roman" w:hAnsi="Times New Roman"/>
          <w:b/>
          <w:color w:val="000000"/>
          <w:sz w:val="16"/>
          <w:szCs w:val="16"/>
          <w:lang w:val="en-GB"/>
        </w:rPr>
      </w:pPr>
    </w:p>
    <w:p w14:paraId="4A21838C" w14:textId="77777777" w:rsidR="008E08C4" w:rsidRPr="0029408A" w:rsidRDefault="004F2845" w:rsidP="008E08C4">
      <w:pPr>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Form for the provision of information on the risk weighted exposure amount (RWA)</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387"/>
        <w:gridCol w:w="2268"/>
        <w:gridCol w:w="2409"/>
        <w:gridCol w:w="2694"/>
      </w:tblGrid>
      <w:tr w:rsidR="000F2B3E" w:rsidRPr="0029408A" w14:paraId="6823BD1E" w14:textId="77777777" w:rsidTr="0029408A">
        <w:trPr>
          <w:trHeight w:val="454"/>
        </w:trPr>
        <w:tc>
          <w:tcPr>
            <w:tcW w:w="704" w:type="dxa"/>
            <w:vMerge w:val="restart"/>
            <w:shd w:val="clear" w:color="auto" w:fill="auto"/>
          </w:tcPr>
          <w:p w14:paraId="02C06A47" w14:textId="77777777" w:rsidR="00B62483" w:rsidRPr="0029408A" w:rsidRDefault="004F2845" w:rsidP="0029408A">
            <w:pPr>
              <w:spacing w:after="0"/>
              <w:rPr>
                <w:rFonts w:ascii="Times New Roman" w:hAnsi="Times New Roman"/>
                <w:b/>
                <w:color w:val="000000"/>
                <w:sz w:val="24"/>
                <w:szCs w:val="24"/>
                <w:lang w:val="en-GB"/>
              </w:rPr>
            </w:pPr>
            <w:r w:rsidRPr="0029408A">
              <w:rPr>
                <w:rFonts w:ascii="Times New Roman" w:hAnsi="Times New Roman"/>
                <w:b/>
                <w:color w:val="000000"/>
                <w:sz w:val="24"/>
                <w:szCs w:val="24"/>
                <w:lang w:val="en-GB"/>
              </w:rPr>
              <w:t>No</w:t>
            </w:r>
            <w:r w:rsidR="00B62483" w:rsidRPr="0029408A">
              <w:rPr>
                <w:rFonts w:ascii="Times New Roman" w:hAnsi="Times New Roman"/>
                <w:b/>
                <w:color w:val="000000"/>
                <w:sz w:val="24"/>
                <w:szCs w:val="24"/>
                <w:lang w:val="en-GB"/>
              </w:rPr>
              <w:t>. d/o</w:t>
            </w:r>
          </w:p>
        </w:tc>
        <w:tc>
          <w:tcPr>
            <w:tcW w:w="5387" w:type="dxa"/>
            <w:shd w:val="clear" w:color="auto" w:fill="auto"/>
          </w:tcPr>
          <w:p w14:paraId="2AB9E628" w14:textId="77777777" w:rsidR="00B62483" w:rsidRPr="0029408A" w:rsidRDefault="00B62483" w:rsidP="0029408A">
            <w:pPr>
              <w:spacing w:after="0"/>
              <w:rPr>
                <w:rFonts w:ascii="Times New Roman" w:hAnsi="Times New Roman"/>
                <w:b/>
                <w:color w:val="000000"/>
                <w:sz w:val="24"/>
                <w:szCs w:val="24"/>
                <w:lang w:val="en-GB"/>
              </w:rPr>
            </w:pPr>
          </w:p>
        </w:tc>
        <w:tc>
          <w:tcPr>
            <w:tcW w:w="4677" w:type="dxa"/>
            <w:gridSpan w:val="2"/>
            <w:shd w:val="clear" w:color="auto" w:fill="auto"/>
          </w:tcPr>
          <w:p w14:paraId="38BF677F" w14:textId="77777777" w:rsidR="00B62483" w:rsidRPr="0029408A" w:rsidRDefault="00CB5CD9"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risk weighted exposure amount (RWA)</w:t>
            </w:r>
          </w:p>
        </w:tc>
        <w:tc>
          <w:tcPr>
            <w:tcW w:w="2694" w:type="dxa"/>
            <w:shd w:val="clear" w:color="auto" w:fill="auto"/>
          </w:tcPr>
          <w:p w14:paraId="21F25140" w14:textId="77777777" w:rsidR="00B62483" w:rsidRPr="0029408A" w:rsidRDefault="00CB5CD9"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Minimum capital requirements</w:t>
            </w:r>
          </w:p>
        </w:tc>
      </w:tr>
      <w:tr w:rsidR="000F2B3E" w:rsidRPr="0029408A" w14:paraId="260F2488" w14:textId="77777777" w:rsidTr="0029408A">
        <w:trPr>
          <w:trHeight w:val="454"/>
        </w:trPr>
        <w:tc>
          <w:tcPr>
            <w:tcW w:w="704" w:type="dxa"/>
            <w:vMerge/>
            <w:shd w:val="clear" w:color="auto" w:fill="auto"/>
          </w:tcPr>
          <w:p w14:paraId="3E1B22EE" w14:textId="77777777" w:rsidR="00B62483" w:rsidRPr="0029408A" w:rsidRDefault="00B62483" w:rsidP="0029408A">
            <w:pPr>
              <w:spacing w:after="0"/>
              <w:rPr>
                <w:rFonts w:ascii="Times New Roman" w:hAnsi="Times New Roman"/>
                <w:b/>
                <w:color w:val="000000"/>
                <w:sz w:val="24"/>
                <w:szCs w:val="24"/>
                <w:lang w:val="en-GB"/>
              </w:rPr>
            </w:pPr>
          </w:p>
        </w:tc>
        <w:tc>
          <w:tcPr>
            <w:tcW w:w="5387" w:type="dxa"/>
            <w:shd w:val="clear" w:color="auto" w:fill="auto"/>
          </w:tcPr>
          <w:p w14:paraId="3217E80B" w14:textId="77777777" w:rsidR="00B62483" w:rsidRPr="0029408A" w:rsidRDefault="00B62483" w:rsidP="0029408A">
            <w:pPr>
              <w:spacing w:after="0"/>
              <w:rPr>
                <w:rFonts w:ascii="Times New Roman" w:hAnsi="Times New Roman"/>
                <w:b/>
                <w:color w:val="000000"/>
                <w:sz w:val="24"/>
                <w:szCs w:val="24"/>
                <w:lang w:val="en-GB"/>
              </w:rPr>
            </w:pPr>
          </w:p>
        </w:tc>
        <w:tc>
          <w:tcPr>
            <w:tcW w:w="2268" w:type="dxa"/>
            <w:shd w:val="clear" w:color="auto" w:fill="auto"/>
          </w:tcPr>
          <w:p w14:paraId="5A2DB0D5" w14:textId="77777777" w:rsidR="00B62483" w:rsidRPr="0029408A" w:rsidRDefault="000D5984" w:rsidP="0029408A">
            <w:pPr>
              <w:spacing w:after="0"/>
              <w:rPr>
                <w:rFonts w:ascii="Times New Roman" w:hAnsi="Times New Roman"/>
                <w:b/>
                <w:color w:val="000000"/>
                <w:sz w:val="24"/>
                <w:szCs w:val="24"/>
                <w:lang w:val="en-GB"/>
              </w:rPr>
            </w:pPr>
            <w:r w:rsidRPr="0029408A">
              <w:rPr>
                <w:rFonts w:ascii="Times New Roman" w:hAnsi="Times New Roman"/>
                <w:b/>
                <w:color w:val="000000"/>
                <w:sz w:val="24"/>
                <w:szCs w:val="24"/>
                <w:lang w:val="en-GB"/>
              </w:rPr>
              <w:t>Reporting quarter</w:t>
            </w:r>
          </w:p>
        </w:tc>
        <w:tc>
          <w:tcPr>
            <w:tcW w:w="2409" w:type="dxa"/>
            <w:shd w:val="clear" w:color="auto" w:fill="auto"/>
          </w:tcPr>
          <w:p w14:paraId="25E5B61E" w14:textId="77777777" w:rsidR="00B62483" w:rsidRPr="0029408A" w:rsidRDefault="000D598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The quarter preceding the reporting quarter</w:t>
            </w:r>
          </w:p>
        </w:tc>
        <w:tc>
          <w:tcPr>
            <w:tcW w:w="2694" w:type="dxa"/>
            <w:shd w:val="clear" w:color="auto" w:fill="auto"/>
          </w:tcPr>
          <w:p w14:paraId="78887576" w14:textId="77777777" w:rsidR="00B62483" w:rsidRPr="0029408A" w:rsidRDefault="000D5984" w:rsidP="0029408A">
            <w:pPr>
              <w:spacing w:after="0"/>
              <w:rPr>
                <w:rFonts w:ascii="Times New Roman" w:hAnsi="Times New Roman"/>
                <w:b/>
                <w:color w:val="000000"/>
                <w:sz w:val="24"/>
                <w:szCs w:val="24"/>
                <w:lang w:val="en-GB"/>
              </w:rPr>
            </w:pPr>
            <w:r w:rsidRPr="0029408A">
              <w:rPr>
                <w:rFonts w:ascii="Times New Roman" w:hAnsi="Times New Roman"/>
                <w:b/>
                <w:color w:val="000000"/>
                <w:sz w:val="24"/>
                <w:szCs w:val="24"/>
                <w:lang w:val="en-GB"/>
              </w:rPr>
              <w:t>Reporting quarter</w:t>
            </w:r>
          </w:p>
        </w:tc>
      </w:tr>
      <w:tr w:rsidR="000F2B3E" w:rsidRPr="0029408A" w14:paraId="49A20520" w14:textId="77777777" w:rsidTr="0029408A">
        <w:trPr>
          <w:trHeight w:val="454"/>
        </w:trPr>
        <w:tc>
          <w:tcPr>
            <w:tcW w:w="704" w:type="dxa"/>
            <w:shd w:val="clear" w:color="auto" w:fill="auto"/>
          </w:tcPr>
          <w:p w14:paraId="2DF94834"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4F53C1B7" w14:textId="77777777" w:rsidR="008E08C4" w:rsidRPr="0029408A" w:rsidRDefault="00233C71" w:rsidP="0029408A">
            <w:pPr>
              <w:spacing w:after="0"/>
              <w:rPr>
                <w:rFonts w:ascii="Times New Roman" w:hAnsi="Times New Roman"/>
                <w:b/>
                <w:color w:val="000000"/>
                <w:sz w:val="24"/>
                <w:szCs w:val="24"/>
                <w:lang w:val="en-GB"/>
              </w:rPr>
            </w:pPr>
            <w:r w:rsidRPr="0029408A">
              <w:rPr>
                <w:rFonts w:ascii="Times New Roman" w:hAnsi="Times New Roman"/>
                <w:b/>
                <w:color w:val="000000"/>
                <w:sz w:val="24"/>
                <w:szCs w:val="24"/>
                <w:lang w:val="en-GB"/>
              </w:rPr>
              <w:t xml:space="preserve">Credit risk </w:t>
            </w:r>
            <w:r w:rsidRPr="0029408A">
              <w:rPr>
                <w:rFonts w:ascii="Times New Roman" w:hAnsi="Times New Roman"/>
                <w:color w:val="000000"/>
                <w:sz w:val="24"/>
                <w:szCs w:val="24"/>
                <w:lang w:val="en-GB"/>
              </w:rPr>
              <w:t>(excluding counterparty credit risk)</w:t>
            </w:r>
          </w:p>
        </w:tc>
        <w:tc>
          <w:tcPr>
            <w:tcW w:w="2268" w:type="dxa"/>
            <w:shd w:val="clear" w:color="auto" w:fill="auto"/>
          </w:tcPr>
          <w:p w14:paraId="5B3B669D" w14:textId="77777777" w:rsidR="008E08C4" w:rsidRPr="0029408A" w:rsidRDefault="008E08C4" w:rsidP="0029408A">
            <w:pPr>
              <w:spacing w:after="0"/>
              <w:rPr>
                <w:rFonts w:ascii="Times New Roman" w:hAnsi="Times New Roman"/>
                <w:b/>
                <w:color w:val="000000"/>
                <w:sz w:val="24"/>
                <w:szCs w:val="24"/>
                <w:lang w:val="en-GB"/>
              </w:rPr>
            </w:pPr>
          </w:p>
        </w:tc>
        <w:tc>
          <w:tcPr>
            <w:tcW w:w="2409" w:type="dxa"/>
            <w:shd w:val="clear" w:color="auto" w:fill="auto"/>
          </w:tcPr>
          <w:p w14:paraId="10DC8CC6" w14:textId="77777777" w:rsidR="008E08C4" w:rsidRPr="0029408A" w:rsidRDefault="008E08C4" w:rsidP="0029408A">
            <w:pPr>
              <w:spacing w:after="0"/>
              <w:rPr>
                <w:rFonts w:ascii="Times New Roman" w:hAnsi="Times New Roman"/>
                <w:b/>
                <w:color w:val="000000"/>
                <w:sz w:val="24"/>
                <w:szCs w:val="24"/>
                <w:lang w:val="en-GB"/>
              </w:rPr>
            </w:pPr>
          </w:p>
        </w:tc>
        <w:tc>
          <w:tcPr>
            <w:tcW w:w="2694" w:type="dxa"/>
            <w:shd w:val="clear" w:color="auto" w:fill="auto"/>
          </w:tcPr>
          <w:p w14:paraId="78114571" w14:textId="77777777" w:rsidR="008E08C4" w:rsidRPr="0029408A" w:rsidRDefault="008E08C4" w:rsidP="0029408A">
            <w:pPr>
              <w:spacing w:after="0"/>
              <w:rPr>
                <w:rFonts w:ascii="Times New Roman" w:hAnsi="Times New Roman"/>
                <w:b/>
                <w:color w:val="000000"/>
                <w:sz w:val="24"/>
                <w:szCs w:val="24"/>
                <w:lang w:val="en-GB"/>
              </w:rPr>
            </w:pPr>
          </w:p>
        </w:tc>
      </w:tr>
      <w:tr w:rsidR="000F2B3E" w:rsidRPr="0029408A" w14:paraId="2AE3A8A2" w14:textId="77777777" w:rsidTr="0029408A">
        <w:trPr>
          <w:trHeight w:val="454"/>
        </w:trPr>
        <w:tc>
          <w:tcPr>
            <w:tcW w:w="704" w:type="dxa"/>
            <w:shd w:val="clear" w:color="auto" w:fill="auto"/>
          </w:tcPr>
          <w:p w14:paraId="67AB66E0"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35969FCE" w14:textId="77777777" w:rsidR="008E08C4" w:rsidRPr="0029408A" w:rsidRDefault="00233C71" w:rsidP="0029408A">
            <w:pPr>
              <w:spacing w:after="0"/>
              <w:rPr>
                <w:rFonts w:ascii="Times New Roman" w:hAnsi="Times New Roman"/>
                <w:color w:val="000000"/>
                <w:sz w:val="24"/>
                <w:szCs w:val="24"/>
                <w:lang w:val="en-GB"/>
              </w:rPr>
            </w:pPr>
            <w:r w:rsidRPr="0029408A">
              <w:rPr>
                <w:rFonts w:ascii="Times New Roman" w:hAnsi="Times New Roman"/>
                <w:color w:val="000000"/>
                <w:sz w:val="24"/>
                <w:szCs w:val="24"/>
                <w:lang w:val="en-GB"/>
              </w:rPr>
              <w:t>Of which: standardized approach</w:t>
            </w:r>
          </w:p>
        </w:tc>
        <w:tc>
          <w:tcPr>
            <w:tcW w:w="2268" w:type="dxa"/>
            <w:shd w:val="clear" w:color="auto" w:fill="auto"/>
          </w:tcPr>
          <w:p w14:paraId="6E7D620C" w14:textId="77777777" w:rsidR="008E08C4" w:rsidRPr="0029408A" w:rsidRDefault="008E08C4" w:rsidP="0029408A">
            <w:pPr>
              <w:spacing w:after="0"/>
              <w:rPr>
                <w:rFonts w:ascii="Times New Roman" w:hAnsi="Times New Roman"/>
                <w:b/>
                <w:color w:val="000000"/>
                <w:sz w:val="24"/>
                <w:szCs w:val="24"/>
                <w:lang w:val="en-GB"/>
              </w:rPr>
            </w:pPr>
          </w:p>
        </w:tc>
        <w:tc>
          <w:tcPr>
            <w:tcW w:w="2409" w:type="dxa"/>
            <w:shd w:val="clear" w:color="auto" w:fill="auto"/>
          </w:tcPr>
          <w:p w14:paraId="5B2759BF" w14:textId="77777777" w:rsidR="008E08C4" w:rsidRPr="0029408A" w:rsidRDefault="008E08C4" w:rsidP="0029408A">
            <w:pPr>
              <w:spacing w:after="0"/>
              <w:rPr>
                <w:rFonts w:ascii="Times New Roman" w:hAnsi="Times New Roman"/>
                <w:b/>
                <w:color w:val="000000"/>
                <w:sz w:val="24"/>
                <w:szCs w:val="24"/>
                <w:lang w:val="en-GB"/>
              </w:rPr>
            </w:pPr>
          </w:p>
        </w:tc>
        <w:tc>
          <w:tcPr>
            <w:tcW w:w="2694" w:type="dxa"/>
            <w:shd w:val="clear" w:color="auto" w:fill="auto"/>
          </w:tcPr>
          <w:p w14:paraId="0FAAEA1A" w14:textId="77777777" w:rsidR="008E08C4" w:rsidRPr="0029408A" w:rsidRDefault="008E08C4" w:rsidP="0029408A">
            <w:pPr>
              <w:spacing w:after="0"/>
              <w:rPr>
                <w:rFonts w:ascii="Times New Roman" w:hAnsi="Times New Roman"/>
                <w:b/>
                <w:color w:val="000000"/>
                <w:sz w:val="24"/>
                <w:szCs w:val="24"/>
                <w:lang w:val="en-GB"/>
              </w:rPr>
            </w:pPr>
          </w:p>
        </w:tc>
      </w:tr>
      <w:tr w:rsidR="000F2B3E" w:rsidRPr="0029408A" w14:paraId="525E458F" w14:textId="77777777" w:rsidTr="0029408A">
        <w:trPr>
          <w:trHeight w:val="454"/>
        </w:trPr>
        <w:tc>
          <w:tcPr>
            <w:tcW w:w="704" w:type="dxa"/>
            <w:shd w:val="clear" w:color="auto" w:fill="auto"/>
          </w:tcPr>
          <w:p w14:paraId="7AC929BC"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12531E2A" w14:textId="77777777" w:rsidR="008E08C4" w:rsidRPr="0029408A" w:rsidRDefault="00233C71" w:rsidP="0029408A">
            <w:pPr>
              <w:spacing w:after="0"/>
              <w:rPr>
                <w:rFonts w:ascii="Times New Roman" w:hAnsi="Times New Roman"/>
                <w:b/>
                <w:color w:val="000000"/>
                <w:sz w:val="24"/>
                <w:szCs w:val="24"/>
                <w:lang w:val="en-GB"/>
              </w:rPr>
            </w:pPr>
            <w:r w:rsidRPr="0029408A">
              <w:rPr>
                <w:rFonts w:ascii="Times New Roman" w:hAnsi="Times New Roman"/>
                <w:color w:val="000000"/>
                <w:sz w:val="24"/>
                <w:szCs w:val="24"/>
                <w:lang w:val="en-GB"/>
              </w:rPr>
              <w:t>Of which: Basic IRB Approach (FIRB)</w:t>
            </w:r>
          </w:p>
        </w:tc>
        <w:tc>
          <w:tcPr>
            <w:tcW w:w="2268" w:type="dxa"/>
            <w:shd w:val="clear" w:color="auto" w:fill="auto"/>
          </w:tcPr>
          <w:p w14:paraId="19B8F752"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409" w:type="dxa"/>
            <w:shd w:val="clear" w:color="auto" w:fill="auto"/>
          </w:tcPr>
          <w:p w14:paraId="67F4B1E5"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694" w:type="dxa"/>
            <w:shd w:val="clear" w:color="auto" w:fill="auto"/>
          </w:tcPr>
          <w:p w14:paraId="3159855E"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r>
      <w:tr w:rsidR="000F2B3E" w:rsidRPr="0029408A" w14:paraId="7F37BA5F" w14:textId="77777777" w:rsidTr="0029408A">
        <w:trPr>
          <w:trHeight w:val="454"/>
        </w:trPr>
        <w:tc>
          <w:tcPr>
            <w:tcW w:w="704" w:type="dxa"/>
            <w:shd w:val="clear" w:color="auto" w:fill="auto"/>
          </w:tcPr>
          <w:p w14:paraId="059F53B2"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4C5A97D9" w14:textId="77777777" w:rsidR="008E08C4" w:rsidRPr="0029408A" w:rsidRDefault="00233C71" w:rsidP="0029408A">
            <w:pPr>
              <w:spacing w:after="0"/>
              <w:rPr>
                <w:rFonts w:ascii="Times New Roman" w:hAnsi="Times New Roman"/>
                <w:b/>
                <w:color w:val="000000"/>
                <w:sz w:val="24"/>
                <w:szCs w:val="24"/>
                <w:lang w:val="en-GB"/>
              </w:rPr>
            </w:pPr>
            <w:r w:rsidRPr="0029408A">
              <w:rPr>
                <w:rFonts w:ascii="Times New Roman" w:hAnsi="Times New Roman"/>
                <w:color w:val="000000"/>
                <w:sz w:val="24"/>
                <w:szCs w:val="24"/>
                <w:lang w:val="en-GB"/>
              </w:rPr>
              <w:t>Of which: Advanced IRB Approach (AIRB)</w:t>
            </w:r>
          </w:p>
        </w:tc>
        <w:tc>
          <w:tcPr>
            <w:tcW w:w="2268" w:type="dxa"/>
            <w:shd w:val="clear" w:color="auto" w:fill="auto"/>
          </w:tcPr>
          <w:p w14:paraId="4A8044E9"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409" w:type="dxa"/>
            <w:shd w:val="clear" w:color="auto" w:fill="auto"/>
          </w:tcPr>
          <w:p w14:paraId="35E079C2"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694" w:type="dxa"/>
            <w:shd w:val="clear" w:color="auto" w:fill="auto"/>
          </w:tcPr>
          <w:p w14:paraId="7FABDC84"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r>
      <w:tr w:rsidR="000F2B3E" w:rsidRPr="0029408A" w14:paraId="5293CA27" w14:textId="77777777" w:rsidTr="0029408A">
        <w:trPr>
          <w:trHeight w:val="454"/>
        </w:trPr>
        <w:tc>
          <w:tcPr>
            <w:tcW w:w="704" w:type="dxa"/>
            <w:shd w:val="clear" w:color="auto" w:fill="auto"/>
          </w:tcPr>
          <w:p w14:paraId="17F5C99F"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4B449D05" w14:textId="77777777" w:rsidR="008E08C4" w:rsidRPr="0029408A" w:rsidRDefault="00233C71" w:rsidP="0029408A">
            <w:pPr>
              <w:spacing w:after="0"/>
              <w:rPr>
                <w:rFonts w:ascii="Times New Roman" w:hAnsi="Times New Roman"/>
                <w:color w:val="000000"/>
                <w:sz w:val="24"/>
                <w:szCs w:val="24"/>
                <w:lang w:val="en-GB"/>
              </w:rPr>
            </w:pPr>
            <w:r w:rsidRPr="0029408A">
              <w:rPr>
                <w:rFonts w:ascii="Times New Roman" w:hAnsi="Times New Roman"/>
                <w:color w:val="000000"/>
                <w:sz w:val="24"/>
                <w:szCs w:val="24"/>
                <w:lang w:val="en-GB"/>
              </w:rPr>
              <w:t>Of which: Equity from the IRB approach according to the simple risk weighted approach or AMI</w:t>
            </w:r>
          </w:p>
        </w:tc>
        <w:tc>
          <w:tcPr>
            <w:tcW w:w="2268" w:type="dxa"/>
            <w:shd w:val="clear" w:color="auto" w:fill="auto"/>
          </w:tcPr>
          <w:p w14:paraId="2248B4DD"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409" w:type="dxa"/>
            <w:shd w:val="clear" w:color="auto" w:fill="auto"/>
          </w:tcPr>
          <w:p w14:paraId="5A4F5947"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694" w:type="dxa"/>
            <w:shd w:val="clear" w:color="auto" w:fill="auto"/>
          </w:tcPr>
          <w:p w14:paraId="3120CE36"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r>
      <w:tr w:rsidR="000F2B3E" w:rsidRPr="0029408A" w14:paraId="7904983B" w14:textId="77777777" w:rsidTr="0029408A">
        <w:trPr>
          <w:trHeight w:val="454"/>
        </w:trPr>
        <w:tc>
          <w:tcPr>
            <w:tcW w:w="704" w:type="dxa"/>
            <w:shd w:val="clear" w:color="auto" w:fill="auto"/>
          </w:tcPr>
          <w:p w14:paraId="0ABF2086"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614F6CCD" w14:textId="77777777" w:rsidR="008E08C4" w:rsidRPr="0029408A" w:rsidRDefault="00A273B8" w:rsidP="0029408A">
            <w:pPr>
              <w:spacing w:after="0"/>
              <w:rPr>
                <w:rFonts w:ascii="Times New Roman" w:hAnsi="Times New Roman"/>
                <w:b/>
                <w:color w:val="000000"/>
                <w:sz w:val="24"/>
                <w:szCs w:val="24"/>
                <w:lang w:val="en-GB"/>
              </w:rPr>
            </w:pPr>
            <w:r w:rsidRPr="0029408A">
              <w:rPr>
                <w:rFonts w:ascii="Times New Roman" w:hAnsi="Times New Roman"/>
                <w:b/>
                <w:color w:val="000000"/>
                <w:sz w:val="24"/>
                <w:szCs w:val="24"/>
                <w:lang w:val="en-GB"/>
              </w:rPr>
              <w:t>Counterparty credit risk</w:t>
            </w:r>
          </w:p>
        </w:tc>
        <w:tc>
          <w:tcPr>
            <w:tcW w:w="2268" w:type="dxa"/>
            <w:shd w:val="clear" w:color="auto" w:fill="auto"/>
          </w:tcPr>
          <w:p w14:paraId="3F0DD02F" w14:textId="77777777" w:rsidR="008E08C4" w:rsidRPr="0029408A" w:rsidRDefault="008E08C4" w:rsidP="0029408A">
            <w:pPr>
              <w:spacing w:after="0"/>
              <w:rPr>
                <w:rFonts w:ascii="Times New Roman" w:hAnsi="Times New Roman"/>
                <w:b/>
                <w:color w:val="000000"/>
                <w:sz w:val="24"/>
                <w:szCs w:val="24"/>
                <w:lang w:val="en-GB"/>
              </w:rPr>
            </w:pPr>
          </w:p>
        </w:tc>
        <w:tc>
          <w:tcPr>
            <w:tcW w:w="2409" w:type="dxa"/>
            <w:shd w:val="clear" w:color="auto" w:fill="auto"/>
          </w:tcPr>
          <w:p w14:paraId="0FF88181" w14:textId="77777777" w:rsidR="008E08C4" w:rsidRPr="0029408A" w:rsidRDefault="008E08C4" w:rsidP="0029408A">
            <w:pPr>
              <w:spacing w:after="0"/>
              <w:rPr>
                <w:rFonts w:ascii="Times New Roman" w:hAnsi="Times New Roman"/>
                <w:b/>
                <w:color w:val="000000"/>
                <w:sz w:val="24"/>
                <w:szCs w:val="24"/>
                <w:lang w:val="en-GB"/>
              </w:rPr>
            </w:pPr>
          </w:p>
        </w:tc>
        <w:tc>
          <w:tcPr>
            <w:tcW w:w="2694" w:type="dxa"/>
            <w:shd w:val="clear" w:color="auto" w:fill="auto"/>
          </w:tcPr>
          <w:p w14:paraId="4B8CF0F4" w14:textId="77777777" w:rsidR="008E08C4" w:rsidRPr="0029408A" w:rsidRDefault="008E08C4" w:rsidP="0029408A">
            <w:pPr>
              <w:spacing w:after="0"/>
              <w:rPr>
                <w:rFonts w:ascii="Times New Roman" w:hAnsi="Times New Roman"/>
                <w:b/>
                <w:color w:val="000000"/>
                <w:sz w:val="24"/>
                <w:szCs w:val="24"/>
                <w:lang w:val="en-GB"/>
              </w:rPr>
            </w:pPr>
          </w:p>
        </w:tc>
      </w:tr>
      <w:tr w:rsidR="000F2B3E" w:rsidRPr="0029408A" w14:paraId="70CF6BC5" w14:textId="77777777" w:rsidTr="0029408A">
        <w:trPr>
          <w:trHeight w:val="454"/>
        </w:trPr>
        <w:tc>
          <w:tcPr>
            <w:tcW w:w="704" w:type="dxa"/>
            <w:shd w:val="clear" w:color="auto" w:fill="auto"/>
          </w:tcPr>
          <w:p w14:paraId="4050F63C"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7D033DBA" w14:textId="77777777" w:rsidR="008E08C4" w:rsidRPr="0029408A" w:rsidRDefault="00A273B8" w:rsidP="0029408A">
            <w:pPr>
              <w:spacing w:after="0"/>
              <w:rPr>
                <w:rFonts w:ascii="Times New Roman" w:hAnsi="Times New Roman"/>
                <w:b/>
                <w:color w:val="000000"/>
                <w:sz w:val="24"/>
                <w:szCs w:val="24"/>
                <w:lang w:val="en-GB"/>
              </w:rPr>
            </w:pPr>
            <w:r w:rsidRPr="0029408A">
              <w:rPr>
                <w:rFonts w:ascii="Times New Roman" w:hAnsi="Times New Roman"/>
                <w:color w:val="000000"/>
                <w:sz w:val="24"/>
                <w:szCs w:val="24"/>
                <w:lang w:val="en-GB"/>
              </w:rPr>
              <w:t>Of which: The method of mark to market</w:t>
            </w:r>
          </w:p>
        </w:tc>
        <w:tc>
          <w:tcPr>
            <w:tcW w:w="2268" w:type="dxa"/>
            <w:shd w:val="clear" w:color="auto" w:fill="auto"/>
          </w:tcPr>
          <w:p w14:paraId="0063F1EC" w14:textId="77777777" w:rsidR="008E08C4" w:rsidRPr="0029408A" w:rsidRDefault="008E08C4" w:rsidP="0029408A">
            <w:pPr>
              <w:spacing w:after="0"/>
              <w:rPr>
                <w:rFonts w:ascii="Times New Roman" w:hAnsi="Times New Roman"/>
                <w:b/>
                <w:color w:val="000000"/>
                <w:sz w:val="24"/>
                <w:szCs w:val="24"/>
                <w:lang w:val="en-GB"/>
              </w:rPr>
            </w:pPr>
          </w:p>
        </w:tc>
        <w:tc>
          <w:tcPr>
            <w:tcW w:w="2409" w:type="dxa"/>
            <w:shd w:val="clear" w:color="auto" w:fill="auto"/>
          </w:tcPr>
          <w:p w14:paraId="1544AD33" w14:textId="77777777" w:rsidR="008E08C4" w:rsidRPr="0029408A" w:rsidRDefault="008E08C4" w:rsidP="0029408A">
            <w:pPr>
              <w:spacing w:after="0"/>
              <w:rPr>
                <w:rFonts w:ascii="Times New Roman" w:hAnsi="Times New Roman"/>
                <w:b/>
                <w:color w:val="000000"/>
                <w:sz w:val="24"/>
                <w:szCs w:val="24"/>
                <w:lang w:val="en-GB"/>
              </w:rPr>
            </w:pPr>
          </w:p>
        </w:tc>
        <w:tc>
          <w:tcPr>
            <w:tcW w:w="2694" w:type="dxa"/>
            <w:shd w:val="clear" w:color="auto" w:fill="auto"/>
          </w:tcPr>
          <w:p w14:paraId="06B5356E" w14:textId="77777777" w:rsidR="008E08C4" w:rsidRPr="0029408A" w:rsidRDefault="008E08C4" w:rsidP="0029408A">
            <w:pPr>
              <w:spacing w:after="0"/>
              <w:rPr>
                <w:rFonts w:ascii="Times New Roman" w:hAnsi="Times New Roman"/>
                <w:b/>
                <w:color w:val="000000"/>
                <w:sz w:val="24"/>
                <w:szCs w:val="24"/>
                <w:lang w:val="en-GB"/>
              </w:rPr>
            </w:pPr>
          </w:p>
        </w:tc>
      </w:tr>
      <w:tr w:rsidR="000F2B3E" w:rsidRPr="0029408A" w14:paraId="397C7F69" w14:textId="77777777" w:rsidTr="0029408A">
        <w:trPr>
          <w:trHeight w:val="454"/>
        </w:trPr>
        <w:tc>
          <w:tcPr>
            <w:tcW w:w="704" w:type="dxa"/>
            <w:shd w:val="clear" w:color="auto" w:fill="auto"/>
          </w:tcPr>
          <w:p w14:paraId="60665A69"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51A74523" w14:textId="77777777" w:rsidR="008E08C4" w:rsidRPr="0029408A" w:rsidRDefault="00270C89" w:rsidP="0029408A">
            <w:pPr>
              <w:spacing w:after="0"/>
              <w:rPr>
                <w:rFonts w:ascii="Times New Roman" w:hAnsi="Times New Roman"/>
                <w:color w:val="000000"/>
                <w:sz w:val="24"/>
                <w:szCs w:val="24"/>
                <w:lang w:val="en-GB"/>
              </w:rPr>
            </w:pPr>
            <w:r w:rsidRPr="0029408A">
              <w:rPr>
                <w:rFonts w:ascii="Times New Roman" w:hAnsi="Times New Roman"/>
                <w:color w:val="000000"/>
                <w:sz w:val="24"/>
                <w:szCs w:val="24"/>
                <w:lang w:val="en-GB"/>
              </w:rPr>
              <w:t>Of which: Initial Exposure Method</w:t>
            </w:r>
          </w:p>
        </w:tc>
        <w:tc>
          <w:tcPr>
            <w:tcW w:w="2268" w:type="dxa"/>
            <w:shd w:val="clear" w:color="auto" w:fill="auto"/>
          </w:tcPr>
          <w:p w14:paraId="19142523" w14:textId="77777777" w:rsidR="008E08C4" w:rsidRPr="0029408A" w:rsidRDefault="008E08C4" w:rsidP="0029408A">
            <w:pPr>
              <w:spacing w:after="0"/>
              <w:rPr>
                <w:rFonts w:ascii="Times New Roman" w:hAnsi="Times New Roman"/>
                <w:b/>
                <w:color w:val="000000"/>
                <w:sz w:val="24"/>
                <w:szCs w:val="24"/>
                <w:lang w:val="en-GB"/>
              </w:rPr>
            </w:pPr>
          </w:p>
        </w:tc>
        <w:tc>
          <w:tcPr>
            <w:tcW w:w="2409" w:type="dxa"/>
            <w:shd w:val="clear" w:color="auto" w:fill="auto"/>
          </w:tcPr>
          <w:p w14:paraId="34E165E4" w14:textId="77777777" w:rsidR="008E08C4" w:rsidRPr="0029408A" w:rsidRDefault="008E08C4" w:rsidP="0029408A">
            <w:pPr>
              <w:spacing w:after="0"/>
              <w:rPr>
                <w:rFonts w:ascii="Times New Roman" w:hAnsi="Times New Roman"/>
                <w:b/>
                <w:color w:val="000000"/>
                <w:sz w:val="24"/>
                <w:szCs w:val="24"/>
                <w:lang w:val="en-GB"/>
              </w:rPr>
            </w:pPr>
          </w:p>
        </w:tc>
        <w:tc>
          <w:tcPr>
            <w:tcW w:w="2694" w:type="dxa"/>
            <w:shd w:val="clear" w:color="auto" w:fill="auto"/>
          </w:tcPr>
          <w:p w14:paraId="460E9BD1" w14:textId="77777777" w:rsidR="008E08C4" w:rsidRPr="0029408A" w:rsidRDefault="008E08C4" w:rsidP="0029408A">
            <w:pPr>
              <w:spacing w:after="0"/>
              <w:rPr>
                <w:rFonts w:ascii="Times New Roman" w:hAnsi="Times New Roman"/>
                <w:b/>
                <w:color w:val="000000"/>
                <w:sz w:val="24"/>
                <w:szCs w:val="24"/>
                <w:lang w:val="en-GB"/>
              </w:rPr>
            </w:pPr>
          </w:p>
        </w:tc>
      </w:tr>
      <w:tr w:rsidR="000F2B3E" w:rsidRPr="0029408A" w14:paraId="3898EB61" w14:textId="77777777" w:rsidTr="0029408A">
        <w:trPr>
          <w:trHeight w:val="454"/>
        </w:trPr>
        <w:tc>
          <w:tcPr>
            <w:tcW w:w="704" w:type="dxa"/>
            <w:shd w:val="clear" w:color="auto" w:fill="auto"/>
          </w:tcPr>
          <w:p w14:paraId="7830BADB"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007D49FD" w14:textId="77777777" w:rsidR="008E08C4" w:rsidRPr="0029408A" w:rsidRDefault="00270C89" w:rsidP="0029408A">
            <w:pPr>
              <w:spacing w:after="0"/>
              <w:rPr>
                <w:rFonts w:ascii="Times New Roman" w:hAnsi="Times New Roman"/>
                <w:color w:val="000000"/>
                <w:sz w:val="24"/>
                <w:szCs w:val="24"/>
                <w:lang w:val="en-GB"/>
              </w:rPr>
            </w:pPr>
            <w:r w:rsidRPr="0029408A">
              <w:rPr>
                <w:rFonts w:ascii="Times New Roman" w:hAnsi="Times New Roman"/>
                <w:color w:val="000000"/>
                <w:sz w:val="24"/>
                <w:szCs w:val="24"/>
                <w:lang w:val="en-GB"/>
              </w:rPr>
              <w:t>Of which: Standardized Method</w:t>
            </w:r>
          </w:p>
        </w:tc>
        <w:tc>
          <w:tcPr>
            <w:tcW w:w="2268" w:type="dxa"/>
            <w:shd w:val="clear" w:color="auto" w:fill="auto"/>
          </w:tcPr>
          <w:p w14:paraId="618C2E13" w14:textId="77777777" w:rsidR="008E08C4" w:rsidRPr="0029408A" w:rsidRDefault="008E08C4" w:rsidP="0029408A">
            <w:pPr>
              <w:spacing w:after="0"/>
              <w:rPr>
                <w:rFonts w:ascii="Times New Roman" w:hAnsi="Times New Roman"/>
                <w:b/>
                <w:color w:val="000000"/>
                <w:sz w:val="24"/>
                <w:szCs w:val="24"/>
                <w:lang w:val="en-GB"/>
              </w:rPr>
            </w:pPr>
          </w:p>
        </w:tc>
        <w:tc>
          <w:tcPr>
            <w:tcW w:w="2409" w:type="dxa"/>
            <w:shd w:val="clear" w:color="auto" w:fill="auto"/>
          </w:tcPr>
          <w:p w14:paraId="59D06D76" w14:textId="77777777" w:rsidR="008E08C4" w:rsidRPr="0029408A" w:rsidRDefault="008E08C4" w:rsidP="0029408A">
            <w:pPr>
              <w:spacing w:after="0"/>
              <w:rPr>
                <w:rFonts w:ascii="Times New Roman" w:hAnsi="Times New Roman"/>
                <w:b/>
                <w:color w:val="000000"/>
                <w:sz w:val="24"/>
                <w:szCs w:val="24"/>
                <w:lang w:val="en-GB"/>
              </w:rPr>
            </w:pPr>
          </w:p>
        </w:tc>
        <w:tc>
          <w:tcPr>
            <w:tcW w:w="2694" w:type="dxa"/>
            <w:shd w:val="clear" w:color="auto" w:fill="auto"/>
          </w:tcPr>
          <w:p w14:paraId="2C043603" w14:textId="77777777" w:rsidR="008E08C4" w:rsidRPr="0029408A" w:rsidRDefault="008E08C4" w:rsidP="0029408A">
            <w:pPr>
              <w:spacing w:after="0"/>
              <w:rPr>
                <w:rFonts w:ascii="Times New Roman" w:hAnsi="Times New Roman"/>
                <w:b/>
                <w:color w:val="000000"/>
                <w:sz w:val="24"/>
                <w:szCs w:val="24"/>
                <w:lang w:val="en-GB"/>
              </w:rPr>
            </w:pPr>
          </w:p>
        </w:tc>
      </w:tr>
      <w:tr w:rsidR="000F2B3E" w:rsidRPr="0029408A" w14:paraId="09C5DA6B" w14:textId="77777777" w:rsidTr="0029408A">
        <w:trPr>
          <w:trHeight w:val="454"/>
        </w:trPr>
        <w:tc>
          <w:tcPr>
            <w:tcW w:w="704" w:type="dxa"/>
            <w:shd w:val="clear" w:color="auto" w:fill="auto"/>
          </w:tcPr>
          <w:p w14:paraId="5D8ABD5B"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2E8F3316" w14:textId="77777777" w:rsidR="008E08C4" w:rsidRPr="0029408A" w:rsidRDefault="00270C89" w:rsidP="0029408A">
            <w:pPr>
              <w:spacing w:after="0"/>
              <w:rPr>
                <w:rFonts w:ascii="Times New Roman" w:hAnsi="Times New Roman"/>
                <w:color w:val="000000"/>
                <w:sz w:val="24"/>
                <w:szCs w:val="24"/>
                <w:lang w:val="en-GB"/>
              </w:rPr>
            </w:pPr>
            <w:r w:rsidRPr="0029408A">
              <w:rPr>
                <w:rFonts w:ascii="Times New Roman" w:hAnsi="Times New Roman"/>
                <w:color w:val="000000"/>
                <w:sz w:val="24"/>
                <w:szCs w:val="24"/>
                <w:lang w:val="en-GB"/>
              </w:rPr>
              <w:t>Of which: Internal Model Method (IMM)</w:t>
            </w:r>
          </w:p>
        </w:tc>
        <w:tc>
          <w:tcPr>
            <w:tcW w:w="2268" w:type="dxa"/>
            <w:shd w:val="clear" w:color="auto" w:fill="auto"/>
          </w:tcPr>
          <w:p w14:paraId="46A7A377"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409" w:type="dxa"/>
            <w:shd w:val="clear" w:color="auto" w:fill="auto"/>
          </w:tcPr>
          <w:p w14:paraId="2836E938"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694" w:type="dxa"/>
            <w:shd w:val="clear" w:color="auto" w:fill="auto"/>
          </w:tcPr>
          <w:p w14:paraId="5D9DCCC7"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r>
      <w:tr w:rsidR="000F2B3E" w:rsidRPr="0029408A" w14:paraId="34305941" w14:textId="77777777" w:rsidTr="0029408A">
        <w:trPr>
          <w:trHeight w:val="454"/>
        </w:trPr>
        <w:tc>
          <w:tcPr>
            <w:tcW w:w="704" w:type="dxa"/>
            <w:shd w:val="clear" w:color="auto" w:fill="auto"/>
          </w:tcPr>
          <w:p w14:paraId="0658F279"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1D5AB6E5" w14:textId="77777777" w:rsidR="008E08C4" w:rsidRPr="0029408A" w:rsidRDefault="002E5A90" w:rsidP="0029408A">
            <w:pPr>
              <w:spacing w:after="0"/>
              <w:rPr>
                <w:rFonts w:ascii="Times New Roman" w:hAnsi="Times New Roman"/>
                <w:color w:val="000000"/>
                <w:sz w:val="24"/>
                <w:szCs w:val="24"/>
                <w:lang w:val="en-GB"/>
              </w:rPr>
            </w:pPr>
            <w:r w:rsidRPr="0029408A">
              <w:rPr>
                <w:rFonts w:ascii="Times New Roman" w:hAnsi="Times New Roman"/>
                <w:color w:val="000000"/>
                <w:sz w:val="24"/>
                <w:szCs w:val="24"/>
                <w:lang w:val="en-GB"/>
              </w:rPr>
              <w:t>Of which: Risk Exposure Value for CPC Guarantee Fund Contributions</w:t>
            </w:r>
          </w:p>
        </w:tc>
        <w:tc>
          <w:tcPr>
            <w:tcW w:w="2268" w:type="dxa"/>
            <w:shd w:val="clear" w:color="auto" w:fill="auto"/>
          </w:tcPr>
          <w:p w14:paraId="3C2725BD"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409" w:type="dxa"/>
            <w:shd w:val="clear" w:color="auto" w:fill="auto"/>
          </w:tcPr>
          <w:p w14:paraId="44DFA67E"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694" w:type="dxa"/>
            <w:shd w:val="clear" w:color="auto" w:fill="auto"/>
          </w:tcPr>
          <w:p w14:paraId="5302F9A7"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r>
      <w:tr w:rsidR="000F2B3E" w:rsidRPr="0029408A" w14:paraId="189C89AB" w14:textId="77777777" w:rsidTr="0029408A">
        <w:trPr>
          <w:trHeight w:val="454"/>
        </w:trPr>
        <w:tc>
          <w:tcPr>
            <w:tcW w:w="704" w:type="dxa"/>
            <w:shd w:val="clear" w:color="auto" w:fill="auto"/>
          </w:tcPr>
          <w:p w14:paraId="3DDCE76F"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5EA7587A" w14:textId="77777777" w:rsidR="008E08C4" w:rsidRPr="0029408A" w:rsidRDefault="002E5A90" w:rsidP="0029408A">
            <w:pPr>
              <w:spacing w:after="0"/>
              <w:rPr>
                <w:rFonts w:ascii="Times New Roman" w:hAnsi="Times New Roman"/>
                <w:color w:val="000000"/>
                <w:sz w:val="24"/>
                <w:szCs w:val="24"/>
                <w:lang w:val="en-GB"/>
              </w:rPr>
            </w:pPr>
            <w:r w:rsidRPr="0029408A">
              <w:rPr>
                <w:rFonts w:ascii="Times New Roman" w:hAnsi="Times New Roman"/>
                <w:color w:val="000000"/>
                <w:sz w:val="24"/>
                <w:szCs w:val="24"/>
                <w:lang w:val="en-GB"/>
              </w:rPr>
              <w:t>Of which: credit valuation adjustment (CVA)</w:t>
            </w:r>
          </w:p>
        </w:tc>
        <w:tc>
          <w:tcPr>
            <w:tcW w:w="2268" w:type="dxa"/>
            <w:shd w:val="clear" w:color="auto" w:fill="auto"/>
          </w:tcPr>
          <w:p w14:paraId="54FA2147" w14:textId="77777777" w:rsidR="008E08C4" w:rsidRPr="0029408A" w:rsidRDefault="008E08C4" w:rsidP="0029408A">
            <w:pPr>
              <w:spacing w:after="0"/>
              <w:jc w:val="center"/>
              <w:rPr>
                <w:rFonts w:ascii="Times New Roman" w:hAnsi="Times New Roman"/>
                <w:b/>
                <w:color w:val="000000"/>
                <w:sz w:val="24"/>
                <w:szCs w:val="24"/>
                <w:lang w:val="en-GB"/>
              </w:rPr>
            </w:pPr>
          </w:p>
        </w:tc>
        <w:tc>
          <w:tcPr>
            <w:tcW w:w="2409" w:type="dxa"/>
            <w:shd w:val="clear" w:color="auto" w:fill="auto"/>
          </w:tcPr>
          <w:p w14:paraId="1ADB7C48" w14:textId="77777777" w:rsidR="008E08C4" w:rsidRPr="0029408A" w:rsidRDefault="008E08C4" w:rsidP="0029408A">
            <w:pPr>
              <w:spacing w:after="0"/>
              <w:jc w:val="center"/>
              <w:rPr>
                <w:rFonts w:ascii="Times New Roman" w:hAnsi="Times New Roman"/>
                <w:b/>
                <w:color w:val="000000"/>
                <w:sz w:val="24"/>
                <w:szCs w:val="24"/>
                <w:lang w:val="en-GB"/>
              </w:rPr>
            </w:pPr>
          </w:p>
        </w:tc>
        <w:tc>
          <w:tcPr>
            <w:tcW w:w="2694" w:type="dxa"/>
            <w:shd w:val="clear" w:color="auto" w:fill="auto"/>
          </w:tcPr>
          <w:p w14:paraId="713BA7AD" w14:textId="77777777" w:rsidR="008E08C4" w:rsidRPr="0029408A" w:rsidRDefault="008E08C4" w:rsidP="0029408A">
            <w:pPr>
              <w:spacing w:after="0"/>
              <w:jc w:val="center"/>
              <w:rPr>
                <w:rFonts w:ascii="Times New Roman" w:hAnsi="Times New Roman"/>
                <w:b/>
                <w:color w:val="000000"/>
                <w:sz w:val="24"/>
                <w:szCs w:val="24"/>
                <w:lang w:val="en-GB"/>
              </w:rPr>
            </w:pPr>
          </w:p>
        </w:tc>
      </w:tr>
      <w:tr w:rsidR="000F2B3E" w:rsidRPr="0029408A" w14:paraId="223F96C5" w14:textId="77777777" w:rsidTr="0029408A">
        <w:trPr>
          <w:trHeight w:val="454"/>
        </w:trPr>
        <w:tc>
          <w:tcPr>
            <w:tcW w:w="704" w:type="dxa"/>
            <w:shd w:val="clear" w:color="auto" w:fill="auto"/>
          </w:tcPr>
          <w:p w14:paraId="485A154D"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42EFFCF2" w14:textId="77777777" w:rsidR="008E08C4" w:rsidRPr="0029408A" w:rsidRDefault="00265E0A" w:rsidP="0029408A">
            <w:pPr>
              <w:spacing w:after="0"/>
              <w:rPr>
                <w:rFonts w:ascii="Times New Roman" w:hAnsi="Times New Roman"/>
                <w:color w:val="000000"/>
                <w:sz w:val="24"/>
                <w:szCs w:val="24"/>
                <w:lang w:val="en-GB"/>
              </w:rPr>
            </w:pPr>
            <w:r w:rsidRPr="0029408A">
              <w:rPr>
                <w:rFonts w:ascii="Times New Roman" w:hAnsi="Times New Roman"/>
                <w:b/>
                <w:color w:val="000000"/>
                <w:sz w:val="24"/>
                <w:szCs w:val="24"/>
                <w:lang w:val="en-GB"/>
              </w:rPr>
              <w:t>Settlement risk</w:t>
            </w:r>
          </w:p>
        </w:tc>
        <w:tc>
          <w:tcPr>
            <w:tcW w:w="2268" w:type="dxa"/>
            <w:shd w:val="clear" w:color="auto" w:fill="auto"/>
          </w:tcPr>
          <w:p w14:paraId="0BC79ED1" w14:textId="77777777" w:rsidR="008E08C4" w:rsidRPr="0029408A" w:rsidRDefault="008E08C4" w:rsidP="0029408A">
            <w:pPr>
              <w:spacing w:after="0"/>
              <w:jc w:val="center"/>
              <w:rPr>
                <w:rFonts w:ascii="Times New Roman" w:hAnsi="Times New Roman"/>
                <w:b/>
                <w:color w:val="000000"/>
                <w:sz w:val="24"/>
                <w:szCs w:val="24"/>
                <w:lang w:val="en-GB"/>
              </w:rPr>
            </w:pPr>
          </w:p>
        </w:tc>
        <w:tc>
          <w:tcPr>
            <w:tcW w:w="2409" w:type="dxa"/>
            <w:shd w:val="clear" w:color="auto" w:fill="auto"/>
          </w:tcPr>
          <w:p w14:paraId="042475AC" w14:textId="77777777" w:rsidR="008E08C4" w:rsidRPr="0029408A" w:rsidRDefault="008E08C4" w:rsidP="0029408A">
            <w:pPr>
              <w:spacing w:after="0"/>
              <w:jc w:val="center"/>
              <w:rPr>
                <w:rFonts w:ascii="Times New Roman" w:hAnsi="Times New Roman"/>
                <w:b/>
                <w:color w:val="000000"/>
                <w:sz w:val="24"/>
                <w:szCs w:val="24"/>
                <w:lang w:val="en-GB"/>
              </w:rPr>
            </w:pPr>
          </w:p>
        </w:tc>
        <w:tc>
          <w:tcPr>
            <w:tcW w:w="2694" w:type="dxa"/>
            <w:shd w:val="clear" w:color="auto" w:fill="auto"/>
          </w:tcPr>
          <w:p w14:paraId="05C2EE60" w14:textId="77777777" w:rsidR="008E08C4" w:rsidRPr="0029408A" w:rsidRDefault="008E08C4" w:rsidP="0029408A">
            <w:pPr>
              <w:spacing w:after="0"/>
              <w:jc w:val="center"/>
              <w:rPr>
                <w:rFonts w:ascii="Times New Roman" w:hAnsi="Times New Roman"/>
                <w:b/>
                <w:color w:val="000000"/>
                <w:sz w:val="24"/>
                <w:szCs w:val="24"/>
                <w:lang w:val="en-GB"/>
              </w:rPr>
            </w:pPr>
          </w:p>
        </w:tc>
      </w:tr>
      <w:tr w:rsidR="000F2B3E" w:rsidRPr="0029408A" w14:paraId="0B5D9C66" w14:textId="77777777" w:rsidTr="0029408A">
        <w:trPr>
          <w:trHeight w:val="454"/>
        </w:trPr>
        <w:tc>
          <w:tcPr>
            <w:tcW w:w="704" w:type="dxa"/>
            <w:shd w:val="clear" w:color="auto" w:fill="auto"/>
          </w:tcPr>
          <w:p w14:paraId="7C87B863"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7DB9B056" w14:textId="77777777" w:rsidR="008E08C4" w:rsidRPr="0029408A" w:rsidRDefault="004C1DBD" w:rsidP="0029408A">
            <w:pPr>
              <w:spacing w:after="0"/>
              <w:rPr>
                <w:rFonts w:ascii="Times New Roman" w:hAnsi="Times New Roman"/>
                <w:color w:val="000000"/>
                <w:sz w:val="24"/>
                <w:szCs w:val="24"/>
                <w:lang w:val="en-GB"/>
              </w:rPr>
            </w:pPr>
            <w:r w:rsidRPr="0029408A">
              <w:rPr>
                <w:rFonts w:ascii="Times New Roman" w:hAnsi="Times New Roman"/>
                <w:color w:val="000000"/>
                <w:sz w:val="24"/>
                <w:szCs w:val="24"/>
                <w:lang w:val="en-GB"/>
              </w:rPr>
              <w:t>Securitization exposures in the banking portfolio (by ceiling)</w:t>
            </w:r>
          </w:p>
        </w:tc>
        <w:tc>
          <w:tcPr>
            <w:tcW w:w="2268" w:type="dxa"/>
            <w:shd w:val="clear" w:color="auto" w:fill="auto"/>
          </w:tcPr>
          <w:p w14:paraId="57AED58B"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409" w:type="dxa"/>
            <w:shd w:val="clear" w:color="auto" w:fill="auto"/>
          </w:tcPr>
          <w:p w14:paraId="69430A8A"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694" w:type="dxa"/>
            <w:shd w:val="clear" w:color="auto" w:fill="auto"/>
          </w:tcPr>
          <w:p w14:paraId="4BF83031"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r>
      <w:tr w:rsidR="000F2B3E" w:rsidRPr="0029408A" w14:paraId="5DD48673" w14:textId="77777777" w:rsidTr="0029408A">
        <w:trPr>
          <w:trHeight w:val="454"/>
        </w:trPr>
        <w:tc>
          <w:tcPr>
            <w:tcW w:w="704" w:type="dxa"/>
            <w:shd w:val="clear" w:color="auto" w:fill="auto"/>
          </w:tcPr>
          <w:p w14:paraId="2145AB4E"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08C9964C" w14:textId="77777777" w:rsidR="008E08C4" w:rsidRPr="0029408A" w:rsidRDefault="004C1DBD" w:rsidP="0029408A">
            <w:pPr>
              <w:spacing w:after="0"/>
              <w:rPr>
                <w:rFonts w:ascii="Times New Roman" w:hAnsi="Times New Roman"/>
                <w:b/>
                <w:color w:val="000000"/>
                <w:sz w:val="24"/>
                <w:szCs w:val="24"/>
                <w:lang w:val="en-GB"/>
              </w:rPr>
            </w:pPr>
            <w:r w:rsidRPr="0029408A">
              <w:rPr>
                <w:rFonts w:ascii="Times New Roman" w:hAnsi="Times New Roman"/>
                <w:color w:val="000000"/>
                <w:sz w:val="24"/>
                <w:szCs w:val="24"/>
                <w:lang w:val="en-GB"/>
              </w:rPr>
              <w:t>Of which: IRB approach</w:t>
            </w:r>
          </w:p>
        </w:tc>
        <w:tc>
          <w:tcPr>
            <w:tcW w:w="2268" w:type="dxa"/>
            <w:shd w:val="clear" w:color="auto" w:fill="auto"/>
          </w:tcPr>
          <w:p w14:paraId="3897959C"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409" w:type="dxa"/>
            <w:shd w:val="clear" w:color="auto" w:fill="auto"/>
          </w:tcPr>
          <w:p w14:paraId="2A535DC3"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694" w:type="dxa"/>
            <w:shd w:val="clear" w:color="auto" w:fill="auto"/>
          </w:tcPr>
          <w:p w14:paraId="5B40BE61"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r>
      <w:tr w:rsidR="000F2B3E" w:rsidRPr="0029408A" w14:paraId="6A1BC7BE" w14:textId="77777777" w:rsidTr="0029408A">
        <w:trPr>
          <w:trHeight w:val="454"/>
        </w:trPr>
        <w:tc>
          <w:tcPr>
            <w:tcW w:w="704" w:type="dxa"/>
            <w:shd w:val="clear" w:color="auto" w:fill="auto"/>
          </w:tcPr>
          <w:p w14:paraId="3D36C33E"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78ECF6B7" w14:textId="77777777" w:rsidR="008E08C4" w:rsidRPr="0029408A" w:rsidRDefault="004C1DBD" w:rsidP="0029408A">
            <w:pPr>
              <w:spacing w:after="0"/>
              <w:rPr>
                <w:rFonts w:ascii="Times New Roman" w:hAnsi="Times New Roman"/>
                <w:b/>
                <w:color w:val="000000"/>
                <w:sz w:val="24"/>
                <w:szCs w:val="24"/>
                <w:lang w:val="en-GB"/>
              </w:rPr>
            </w:pPr>
            <w:r w:rsidRPr="0029408A">
              <w:rPr>
                <w:rFonts w:ascii="Times New Roman" w:hAnsi="Times New Roman"/>
                <w:color w:val="000000"/>
                <w:sz w:val="24"/>
                <w:szCs w:val="24"/>
                <w:lang w:val="en-GB"/>
              </w:rPr>
              <w:t>Of which: IRB Regulated Formula (SFA) Method</w:t>
            </w:r>
          </w:p>
        </w:tc>
        <w:tc>
          <w:tcPr>
            <w:tcW w:w="2268" w:type="dxa"/>
            <w:shd w:val="clear" w:color="auto" w:fill="auto"/>
          </w:tcPr>
          <w:p w14:paraId="35C1B87A"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409" w:type="dxa"/>
            <w:shd w:val="clear" w:color="auto" w:fill="auto"/>
          </w:tcPr>
          <w:p w14:paraId="63CEECAC"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694" w:type="dxa"/>
            <w:shd w:val="clear" w:color="auto" w:fill="auto"/>
          </w:tcPr>
          <w:p w14:paraId="145A5FD9"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r>
      <w:tr w:rsidR="000F2B3E" w:rsidRPr="0029408A" w14:paraId="00C4F063" w14:textId="77777777" w:rsidTr="0029408A">
        <w:trPr>
          <w:trHeight w:val="454"/>
        </w:trPr>
        <w:tc>
          <w:tcPr>
            <w:tcW w:w="704" w:type="dxa"/>
            <w:shd w:val="clear" w:color="auto" w:fill="auto"/>
          </w:tcPr>
          <w:p w14:paraId="46CAC1E7"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6B7D9AC0" w14:textId="77777777" w:rsidR="008E08C4" w:rsidRPr="0029408A" w:rsidRDefault="00852F59" w:rsidP="0029408A">
            <w:pPr>
              <w:spacing w:after="0"/>
              <w:rPr>
                <w:rFonts w:ascii="Times New Roman" w:hAnsi="Times New Roman"/>
                <w:color w:val="000000"/>
                <w:sz w:val="24"/>
                <w:szCs w:val="24"/>
                <w:lang w:val="en-GB"/>
              </w:rPr>
            </w:pPr>
            <w:r w:rsidRPr="0029408A">
              <w:rPr>
                <w:rFonts w:ascii="Times New Roman" w:hAnsi="Times New Roman"/>
                <w:color w:val="000000"/>
                <w:sz w:val="24"/>
                <w:szCs w:val="24"/>
                <w:lang w:val="en-GB"/>
              </w:rPr>
              <w:t>Of which: Internal Assessment Approach (IAA)</w:t>
            </w:r>
          </w:p>
        </w:tc>
        <w:tc>
          <w:tcPr>
            <w:tcW w:w="2268" w:type="dxa"/>
            <w:shd w:val="clear" w:color="auto" w:fill="auto"/>
          </w:tcPr>
          <w:p w14:paraId="4CA69DCD"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409" w:type="dxa"/>
            <w:shd w:val="clear" w:color="auto" w:fill="auto"/>
          </w:tcPr>
          <w:p w14:paraId="2F00AA99"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694" w:type="dxa"/>
            <w:shd w:val="clear" w:color="auto" w:fill="auto"/>
          </w:tcPr>
          <w:p w14:paraId="479D835A"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r>
      <w:tr w:rsidR="000F2B3E" w:rsidRPr="0029408A" w14:paraId="5392978E" w14:textId="77777777" w:rsidTr="0029408A">
        <w:trPr>
          <w:trHeight w:val="454"/>
        </w:trPr>
        <w:tc>
          <w:tcPr>
            <w:tcW w:w="704" w:type="dxa"/>
            <w:shd w:val="clear" w:color="auto" w:fill="auto"/>
          </w:tcPr>
          <w:p w14:paraId="1E46AD88"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187BEA4A" w14:textId="77777777" w:rsidR="008E08C4" w:rsidRPr="0029408A" w:rsidRDefault="00852F59" w:rsidP="0029408A">
            <w:pPr>
              <w:spacing w:after="0"/>
              <w:rPr>
                <w:rFonts w:ascii="Times New Roman" w:hAnsi="Times New Roman"/>
                <w:color w:val="000000"/>
                <w:sz w:val="24"/>
                <w:szCs w:val="24"/>
                <w:lang w:val="en-GB"/>
              </w:rPr>
            </w:pPr>
            <w:r w:rsidRPr="0029408A">
              <w:rPr>
                <w:rFonts w:ascii="Times New Roman" w:hAnsi="Times New Roman"/>
                <w:color w:val="000000"/>
                <w:sz w:val="24"/>
                <w:szCs w:val="24"/>
                <w:lang w:val="en-GB"/>
              </w:rPr>
              <w:t>Of which: standardized approach</w:t>
            </w:r>
          </w:p>
        </w:tc>
        <w:tc>
          <w:tcPr>
            <w:tcW w:w="2268" w:type="dxa"/>
            <w:shd w:val="clear" w:color="auto" w:fill="auto"/>
          </w:tcPr>
          <w:p w14:paraId="64D7DA7B" w14:textId="77777777" w:rsidR="008E08C4" w:rsidRPr="0029408A" w:rsidRDefault="008E08C4" w:rsidP="0029408A">
            <w:pPr>
              <w:spacing w:after="0"/>
              <w:jc w:val="center"/>
              <w:rPr>
                <w:rFonts w:ascii="Times New Roman" w:hAnsi="Times New Roman"/>
                <w:b/>
                <w:color w:val="000000"/>
                <w:sz w:val="24"/>
                <w:szCs w:val="24"/>
                <w:lang w:val="en-GB"/>
              </w:rPr>
            </w:pPr>
          </w:p>
        </w:tc>
        <w:tc>
          <w:tcPr>
            <w:tcW w:w="2409" w:type="dxa"/>
            <w:shd w:val="clear" w:color="auto" w:fill="auto"/>
          </w:tcPr>
          <w:p w14:paraId="47E58EB7" w14:textId="77777777" w:rsidR="008E08C4" w:rsidRPr="0029408A" w:rsidRDefault="008E08C4" w:rsidP="0029408A">
            <w:pPr>
              <w:spacing w:after="0"/>
              <w:jc w:val="center"/>
              <w:rPr>
                <w:rFonts w:ascii="Times New Roman" w:hAnsi="Times New Roman"/>
                <w:b/>
                <w:color w:val="000000"/>
                <w:sz w:val="24"/>
                <w:szCs w:val="24"/>
                <w:lang w:val="en-GB"/>
              </w:rPr>
            </w:pPr>
          </w:p>
        </w:tc>
        <w:tc>
          <w:tcPr>
            <w:tcW w:w="2694" w:type="dxa"/>
            <w:shd w:val="clear" w:color="auto" w:fill="auto"/>
          </w:tcPr>
          <w:p w14:paraId="4CA0E589" w14:textId="77777777" w:rsidR="008E08C4" w:rsidRPr="0029408A" w:rsidRDefault="008E08C4" w:rsidP="0029408A">
            <w:pPr>
              <w:spacing w:after="0"/>
              <w:jc w:val="center"/>
              <w:rPr>
                <w:rFonts w:ascii="Times New Roman" w:hAnsi="Times New Roman"/>
                <w:b/>
                <w:color w:val="000000"/>
                <w:sz w:val="24"/>
                <w:szCs w:val="24"/>
                <w:lang w:val="en-GB"/>
              </w:rPr>
            </w:pPr>
          </w:p>
        </w:tc>
      </w:tr>
      <w:tr w:rsidR="000F2B3E" w:rsidRPr="0029408A" w14:paraId="22AA838C" w14:textId="77777777" w:rsidTr="0029408A">
        <w:trPr>
          <w:trHeight w:val="454"/>
        </w:trPr>
        <w:tc>
          <w:tcPr>
            <w:tcW w:w="704" w:type="dxa"/>
            <w:shd w:val="clear" w:color="auto" w:fill="auto"/>
          </w:tcPr>
          <w:p w14:paraId="39CCF3CF"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06B22225" w14:textId="77777777" w:rsidR="008E08C4" w:rsidRPr="0029408A" w:rsidRDefault="00184F17" w:rsidP="0029408A">
            <w:pPr>
              <w:spacing w:after="0"/>
              <w:rPr>
                <w:rFonts w:ascii="Times New Roman" w:hAnsi="Times New Roman"/>
                <w:b/>
                <w:color w:val="000000"/>
                <w:sz w:val="24"/>
                <w:szCs w:val="24"/>
                <w:lang w:val="en-GB"/>
              </w:rPr>
            </w:pPr>
            <w:r w:rsidRPr="0029408A">
              <w:rPr>
                <w:rFonts w:ascii="Times New Roman" w:hAnsi="Times New Roman"/>
                <w:b/>
                <w:color w:val="000000"/>
                <w:sz w:val="24"/>
                <w:szCs w:val="24"/>
                <w:lang w:val="en-GB"/>
              </w:rPr>
              <w:t>Market risk</w:t>
            </w:r>
          </w:p>
        </w:tc>
        <w:tc>
          <w:tcPr>
            <w:tcW w:w="2268" w:type="dxa"/>
            <w:shd w:val="clear" w:color="auto" w:fill="auto"/>
          </w:tcPr>
          <w:p w14:paraId="7AD4A607" w14:textId="77777777" w:rsidR="008E08C4" w:rsidRPr="0029408A" w:rsidRDefault="008E08C4" w:rsidP="0029408A">
            <w:pPr>
              <w:spacing w:after="0"/>
              <w:jc w:val="center"/>
              <w:rPr>
                <w:rFonts w:ascii="Times New Roman" w:hAnsi="Times New Roman"/>
                <w:b/>
                <w:color w:val="000000"/>
                <w:sz w:val="24"/>
                <w:szCs w:val="24"/>
                <w:lang w:val="en-GB"/>
              </w:rPr>
            </w:pPr>
          </w:p>
        </w:tc>
        <w:tc>
          <w:tcPr>
            <w:tcW w:w="2409" w:type="dxa"/>
            <w:shd w:val="clear" w:color="auto" w:fill="auto"/>
          </w:tcPr>
          <w:p w14:paraId="4AF24A69" w14:textId="77777777" w:rsidR="008E08C4" w:rsidRPr="0029408A" w:rsidRDefault="008E08C4" w:rsidP="0029408A">
            <w:pPr>
              <w:spacing w:after="0"/>
              <w:jc w:val="center"/>
              <w:rPr>
                <w:rFonts w:ascii="Times New Roman" w:hAnsi="Times New Roman"/>
                <w:b/>
                <w:color w:val="000000"/>
                <w:sz w:val="24"/>
                <w:szCs w:val="24"/>
                <w:lang w:val="en-GB"/>
              </w:rPr>
            </w:pPr>
          </w:p>
        </w:tc>
        <w:tc>
          <w:tcPr>
            <w:tcW w:w="2694" w:type="dxa"/>
            <w:shd w:val="clear" w:color="auto" w:fill="auto"/>
          </w:tcPr>
          <w:p w14:paraId="4C1D7F53" w14:textId="77777777" w:rsidR="008E08C4" w:rsidRPr="0029408A" w:rsidRDefault="008E08C4" w:rsidP="0029408A">
            <w:pPr>
              <w:spacing w:after="0"/>
              <w:jc w:val="center"/>
              <w:rPr>
                <w:rFonts w:ascii="Times New Roman" w:hAnsi="Times New Roman"/>
                <w:b/>
                <w:color w:val="000000"/>
                <w:sz w:val="24"/>
                <w:szCs w:val="24"/>
                <w:lang w:val="en-GB"/>
              </w:rPr>
            </w:pPr>
          </w:p>
        </w:tc>
      </w:tr>
      <w:tr w:rsidR="000F2B3E" w:rsidRPr="0029408A" w14:paraId="04D2F7FB" w14:textId="77777777" w:rsidTr="0029408A">
        <w:trPr>
          <w:trHeight w:val="454"/>
        </w:trPr>
        <w:tc>
          <w:tcPr>
            <w:tcW w:w="704" w:type="dxa"/>
            <w:shd w:val="clear" w:color="auto" w:fill="auto"/>
          </w:tcPr>
          <w:p w14:paraId="02855706"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50682764" w14:textId="77777777" w:rsidR="008E08C4" w:rsidRPr="0029408A" w:rsidRDefault="00184F17" w:rsidP="0029408A">
            <w:pPr>
              <w:spacing w:after="0"/>
              <w:rPr>
                <w:rFonts w:ascii="Times New Roman" w:hAnsi="Times New Roman"/>
                <w:color w:val="000000"/>
                <w:sz w:val="24"/>
                <w:szCs w:val="24"/>
                <w:lang w:val="en-GB"/>
              </w:rPr>
            </w:pPr>
            <w:r w:rsidRPr="0029408A">
              <w:rPr>
                <w:rFonts w:ascii="Times New Roman" w:hAnsi="Times New Roman"/>
                <w:color w:val="000000"/>
                <w:sz w:val="24"/>
                <w:szCs w:val="24"/>
                <w:lang w:val="en-GB"/>
              </w:rPr>
              <w:t>Of which: standardized approach</w:t>
            </w:r>
          </w:p>
        </w:tc>
        <w:tc>
          <w:tcPr>
            <w:tcW w:w="2268" w:type="dxa"/>
            <w:shd w:val="clear" w:color="auto" w:fill="auto"/>
          </w:tcPr>
          <w:p w14:paraId="46BC1999" w14:textId="77777777" w:rsidR="008E08C4" w:rsidRPr="0029408A" w:rsidRDefault="008E08C4" w:rsidP="0029408A">
            <w:pPr>
              <w:spacing w:after="0"/>
              <w:jc w:val="center"/>
              <w:rPr>
                <w:rFonts w:ascii="Times New Roman" w:hAnsi="Times New Roman"/>
                <w:b/>
                <w:color w:val="000000"/>
                <w:sz w:val="24"/>
                <w:szCs w:val="24"/>
                <w:lang w:val="en-GB"/>
              </w:rPr>
            </w:pPr>
          </w:p>
        </w:tc>
        <w:tc>
          <w:tcPr>
            <w:tcW w:w="2409" w:type="dxa"/>
            <w:shd w:val="clear" w:color="auto" w:fill="auto"/>
          </w:tcPr>
          <w:p w14:paraId="392ECD23" w14:textId="77777777" w:rsidR="008E08C4" w:rsidRPr="0029408A" w:rsidRDefault="008E08C4" w:rsidP="0029408A">
            <w:pPr>
              <w:spacing w:after="0"/>
              <w:jc w:val="center"/>
              <w:rPr>
                <w:rFonts w:ascii="Times New Roman" w:hAnsi="Times New Roman"/>
                <w:b/>
                <w:color w:val="000000"/>
                <w:sz w:val="24"/>
                <w:szCs w:val="24"/>
                <w:lang w:val="en-GB"/>
              </w:rPr>
            </w:pPr>
          </w:p>
        </w:tc>
        <w:tc>
          <w:tcPr>
            <w:tcW w:w="2694" w:type="dxa"/>
            <w:shd w:val="clear" w:color="auto" w:fill="auto"/>
          </w:tcPr>
          <w:p w14:paraId="5380874A" w14:textId="77777777" w:rsidR="008E08C4" w:rsidRPr="0029408A" w:rsidRDefault="008E08C4" w:rsidP="0029408A">
            <w:pPr>
              <w:spacing w:after="0"/>
              <w:jc w:val="center"/>
              <w:rPr>
                <w:rFonts w:ascii="Times New Roman" w:hAnsi="Times New Roman"/>
                <w:b/>
                <w:color w:val="000000"/>
                <w:sz w:val="24"/>
                <w:szCs w:val="24"/>
                <w:lang w:val="en-GB"/>
              </w:rPr>
            </w:pPr>
          </w:p>
        </w:tc>
      </w:tr>
      <w:tr w:rsidR="000F2B3E" w:rsidRPr="0029408A" w14:paraId="3A036597" w14:textId="77777777" w:rsidTr="0029408A">
        <w:trPr>
          <w:trHeight w:val="454"/>
        </w:trPr>
        <w:tc>
          <w:tcPr>
            <w:tcW w:w="704" w:type="dxa"/>
            <w:shd w:val="clear" w:color="auto" w:fill="auto"/>
          </w:tcPr>
          <w:p w14:paraId="2C800059"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459A1798" w14:textId="77777777" w:rsidR="008E08C4" w:rsidRPr="0029408A" w:rsidRDefault="00184F17" w:rsidP="0029408A">
            <w:pPr>
              <w:spacing w:after="0"/>
              <w:rPr>
                <w:rFonts w:ascii="Times New Roman" w:hAnsi="Times New Roman"/>
                <w:color w:val="000000"/>
                <w:sz w:val="24"/>
                <w:szCs w:val="24"/>
                <w:lang w:val="en-GB"/>
              </w:rPr>
            </w:pPr>
            <w:r w:rsidRPr="0029408A">
              <w:rPr>
                <w:rFonts w:ascii="Times New Roman" w:hAnsi="Times New Roman"/>
                <w:color w:val="000000"/>
                <w:sz w:val="24"/>
                <w:szCs w:val="24"/>
                <w:lang w:val="en-GB"/>
              </w:rPr>
              <w:t>Of which: AMI</w:t>
            </w:r>
          </w:p>
        </w:tc>
        <w:tc>
          <w:tcPr>
            <w:tcW w:w="2268" w:type="dxa"/>
            <w:shd w:val="clear" w:color="auto" w:fill="auto"/>
          </w:tcPr>
          <w:p w14:paraId="43880413"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409" w:type="dxa"/>
            <w:shd w:val="clear" w:color="auto" w:fill="auto"/>
          </w:tcPr>
          <w:p w14:paraId="54112F48"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694" w:type="dxa"/>
            <w:shd w:val="clear" w:color="auto" w:fill="auto"/>
          </w:tcPr>
          <w:p w14:paraId="324FC9F4"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r>
      <w:tr w:rsidR="000F2B3E" w:rsidRPr="0029408A" w14:paraId="18F0C6DF" w14:textId="77777777" w:rsidTr="0029408A">
        <w:trPr>
          <w:trHeight w:val="454"/>
        </w:trPr>
        <w:tc>
          <w:tcPr>
            <w:tcW w:w="704" w:type="dxa"/>
            <w:shd w:val="clear" w:color="auto" w:fill="auto"/>
          </w:tcPr>
          <w:p w14:paraId="2F5D246E"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234B49E2" w14:textId="77777777" w:rsidR="008E08C4" w:rsidRPr="0029408A" w:rsidRDefault="00184F17" w:rsidP="0029408A">
            <w:pPr>
              <w:spacing w:after="0"/>
              <w:rPr>
                <w:rFonts w:ascii="Times New Roman" w:hAnsi="Times New Roman"/>
                <w:color w:val="000000"/>
                <w:sz w:val="24"/>
                <w:szCs w:val="24"/>
                <w:lang w:val="en-GB"/>
              </w:rPr>
            </w:pPr>
            <w:r w:rsidRPr="0029408A">
              <w:rPr>
                <w:rFonts w:ascii="Times New Roman" w:hAnsi="Times New Roman"/>
                <w:b/>
                <w:color w:val="000000"/>
                <w:sz w:val="24"/>
                <w:szCs w:val="24"/>
                <w:lang w:val="en-GB"/>
              </w:rPr>
              <w:t>Operational risk</w:t>
            </w:r>
          </w:p>
        </w:tc>
        <w:tc>
          <w:tcPr>
            <w:tcW w:w="2268" w:type="dxa"/>
            <w:shd w:val="clear" w:color="auto" w:fill="auto"/>
          </w:tcPr>
          <w:p w14:paraId="1A5E263D" w14:textId="77777777" w:rsidR="008E08C4" w:rsidRPr="0029408A" w:rsidRDefault="008E08C4" w:rsidP="0029408A">
            <w:pPr>
              <w:spacing w:after="0"/>
              <w:jc w:val="center"/>
              <w:rPr>
                <w:rFonts w:ascii="Times New Roman" w:hAnsi="Times New Roman"/>
                <w:b/>
                <w:color w:val="000000"/>
                <w:sz w:val="24"/>
                <w:szCs w:val="24"/>
                <w:lang w:val="en-GB"/>
              </w:rPr>
            </w:pPr>
          </w:p>
        </w:tc>
        <w:tc>
          <w:tcPr>
            <w:tcW w:w="2409" w:type="dxa"/>
            <w:shd w:val="clear" w:color="auto" w:fill="auto"/>
          </w:tcPr>
          <w:p w14:paraId="28EDC269" w14:textId="77777777" w:rsidR="008E08C4" w:rsidRPr="0029408A" w:rsidRDefault="008E08C4" w:rsidP="0029408A">
            <w:pPr>
              <w:spacing w:after="0"/>
              <w:jc w:val="center"/>
              <w:rPr>
                <w:rFonts w:ascii="Times New Roman" w:hAnsi="Times New Roman"/>
                <w:b/>
                <w:color w:val="000000"/>
                <w:sz w:val="24"/>
                <w:szCs w:val="24"/>
                <w:lang w:val="en-GB"/>
              </w:rPr>
            </w:pPr>
          </w:p>
        </w:tc>
        <w:tc>
          <w:tcPr>
            <w:tcW w:w="2694" w:type="dxa"/>
            <w:shd w:val="clear" w:color="auto" w:fill="auto"/>
          </w:tcPr>
          <w:p w14:paraId="4447FE3A" w14:textId="77777777" w:rsidR="008E08C4" w:rsidRPr="0029408A" w:rsidRDefault="008E08C4" w:rsidP="0029408A">
            <w:pPr>
              <w:spacing w:after="0"/>
              <w:jc w:val="center"/>
              <w:rPr>
                <w:rFonts w:ascii="Times New Roman" w:hAnsi="Times New Roman"/>
                <w:b/>
                <w:color w:val="000000"/>
                <w:sz w:val="24"/>
                <w:szCs w:val="24"/>
                <w:lang w:val="en-GB"/>
              </w:rPr>
            </w:pPr>
          </w:p>
        </w:tc>
      </w:tr>
      <w:tr w:rsidR="000F2B3E" w:rsidRPr="0029408A" w14:paraId="0D452A4E" w14:textId="77777777" w:rsidTr="0029408A">
        <w:trPr>
          <w:trHeight w:val="454"/>
        </w:trPr>
        <w:tc>
          <w:tcPr>
            <w:tcW w:w="704" w:type="dxa"/>
            <w:shd w:val="clear" w:color="auto" w:fill="auto"/>
          </w:tcPr>
          <w:p w14:paraId="680A1DA5"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67202B77" w14:textId="77777777" w:rsidR="008E08C4" w:rsidRPr="0029408A" w:rsidRDefault="00B61BB6" w:rsidP="0029408A">
            <w:pPr>
              <w:spacing w:after="0"/>
              <w:rPr>
                <w:rFonts w:ascii="Times New Roman" w:hAnsi="Times New Roman"/>
                <w:b/>
                <w:color w:val="000000"/>
                <w:sz w:val="24"/>
                <w:szCs w:val="24"/>
                <w:lang w:val="en-GB"/>
              </w:rPr>
            </w:pPr>
            <w:r w:rsidRPr="0029408A">
              <w:rPr>
                <w:rFonts w:ascii="Times New Roman" w:hAnsi="Times New Roman"/>
                <w:color w:val="000000"/>
                <w:sz w:val="24"/>
                <w:szCs w:val="24"/>
                <w:lang w:val="en-GB"/>
              </w:rPr>
              <w:t>Of which: basic approach</w:t>
            </w:r>
          </w:p>
        </w:tc>
        <w:tc>
          <w:tcPr>
            <w:tcW w:w="2268" w:type="dxa"/>
            <w:shd w:val="clear" w:color="auto" w:fill="auto"/>
          </w:tcPr>
          <w:p w14:paraId="58305CFB" w14:textId="77777777" w:rsidR="008E08C4" w:rsidRPr="0029408A" w:rsidRDefault="008E08C4" w:rsidP="0029408A">
            <w:pPr>
              <w:spacing w:after="0"/>
              <w:jc w:val="center"/>
              <w:rPr>
                <w:rFonts w:ascii="Times New Roman" w:hAnsi="Times New Roman"/>
                <w:b/>
                <w:color w:val="000000"/>
                <w:sz w:val="24"/>
                <w:szCs w:val="24"/>
                <w:lang w:val="en-GB"/>
              </w:rPr>
            </w:pPr>
          </w:p>
        </w:tc>
        <w:tc>
          <w:tcPr>
            <w:tcW w:w="2409" w:type="dxa"/>
            <w:shd w:val="clear" w:color="auto" w:fill="auto"/>
          </w:tcPr>
          <w:p w14:paraId="526BE079" w14:textId="77777777" w:rsidR="008E08C4" w:rsidRPr="0029408A" w:rsidRDefault="008E08C4" w:rsidP="0029408A">
            <w:pPr>
              <w:spacing w:after="0"/>
              <w:jc w:val="center"/>
              <w:rPr>
                <w:rFonts w:ascii="Times New Roman" w:hAnsi="Times New Roman"/>
                <w:b/>
                <w:color w:val="000000"/>
                <w:sz w:val="24"/>
                <w:szCs w:val="24"/>
                <w:lang w:val="en-GB"/>
              </w:rPr>
            </w:pPr>
          </w:p>
        </w:tc>
        <w:tc>
          <w:tcPr>
            <w:tcW w:w="2694" w:type="dxa"/>
            <w:shd w:val="clear" w:color="auto" w:fill="auto"/>
          </w:tcPr>
          <w:p w14:paraId="0F8F7340" w14:textId="77777777" w:rsidR="008E08C4" w:rsidRPr="0029408A" w:rsidRDefault="008E08C4" w:rsidP="0029408A">
            <w:pPr>
              <w:spacing w:after="0"/>
              <w:jc w:val="center"/>
              <w:rPr>
                <w:rFonts w:ascii="Times New Roman" w:hAnsi="Times New Roman"/>
                <w:b/>
                <w:color w:val="000000"/>
                <w:sz w:val="24"/>
                <w:szCs w:val="24"/>
                <w:lang w:val="en-GB"/>
              </w:rPr>
            </w:pPr>
          </w:p>
        </w:tc>
      </w:tr>
      <w:tr w:rsidR="000F2B3E" w:rsidRPr="0029408A" w14:paraId="36311613" w14:textId="77777777" w:rsidTr="0029408A">
        <w:trPr>
          <w:trHeight w:val="454"/>
        </w:trPr>
        <w:tc>
          <w:tcPr>
            <w:tcW w:w="704" w:type="dxa"/>
            <w:shd w:val="clear" w:color="auto" w:fill="auto"/>
          </w:tcPr>
          <w:p w14:paraId="3174B3D3"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6523760C" w14:textId="77777777" w:rsidR="008E08C4" w:rsidRPr="0029408A" w:rsidRDefault="00B61BB6" w:rsidP="0029408A">
            <w:pPr>
              <w:spacing w:after="0"/>
              <w:rPr>
                <w:rFonts w:ascii="Times New Roman" w:hAnsi="Times New Roman"/>
                <w:color w:val="000000"/>
                <w:sz w:val="24"/>
                <w:szCs w:val="24"/>
                <w:lang w:val="en-GB"/>
              </w:rPr>
            </w:pPr>
            <w:r w:rsidRPr="0029408A">
              <w:rPr>
                <w:rFonts w:ascii="Times New Roman" w:hAnsi="Times New Roman"/>
                <w:color w:val="000000"/>
                <w:sz w:val="24"/>
                <w:szCs w:val="24"/>
                <w:lang w:val="en-GB"/>
              </w:rPr>
              <w:t>Of which: standardized approach</w:t>
            </w:r>
          </w:p>
        </w:tc>
        <w:tc>
          <w:tcPr>
            <w:tcW w:w="2268" w:type="dxa"/>
            <w:shd w:val="clear" w:color="auto" w:fill="auto"/>
          </w:tcPr>
          <w:p w14:paraId="1C74A6BE" w14:textId="77777777" w:rsidR="008E08C4" w:rsidRPr="0029408A" w:rsidRDefault="008E08C4" w:rsidP="0029408A">
            <w:pPr>
              <w:spacing w:after="0"/>
              <w:jc w:val="center"/>
              <w:rPr>
                <w:rFonts w:ascii="Times New Roman" w:hAnsi="Times New Roman"/>
                <w:b/>
                <w:color w:val="000000"/>
                <w:sz w:val="24"/>
                <w:szCs w:val="24"/>
                <w:lang w:val="en-GB"/>
              </w:rPr>
            </w:pPr>
          </w:p>
        </w:tc>
        <w:tc>
          <w:tcPr>
            <w:tcW w:w="2409" w:type="dxa"/>
            <w:shd w:val="clear" w:color="auto" w:fill="auto"/>
          </w:tcPr>
          <w:p w14:paraId="422D8E95" w14:textId="77777777" w:rsidR="008E08C4" w:rsidRPr="0029408A" w:rsidRDefault="008E08C4" w:rsidP="0029408A">
            <w:pPr>
              <w:spacing w:after="0"/>
              <w:jc w:val="center"/>
              <w:rPr>
                <w:rFonts w:ascii="Times New Roman" w:hAnsi="Times New Roman"/>
                <w:b/>
                <w:color w:val="000000"/>
                <w:sz w:val="24"/>
                <w:szCs w:val="24"/>
                <w:lang w:val="en-GB"/>
              </w:rPr>
            </w:pPr>
          </w:p>
        </w:tc>
        <w:tc>
          <w:tcPr>
            <w:tcW w:w="2694" w:type="dxa"/>
            <w:shd w:val="clear" w:color="auto" w:fill="auto"/>
          </w:tcPr>
          <w:p w14:paraId="68C3AF83" w14:textId="77777777" w:rsidR="008E08C4" w:rsidRPr="0029408A" w:rsidRDefault="008E08C4" w:rsidP="0029408A">
            <w:pPr>
              <w:spacing w:after="0"/>
              <w:jc w:val="center"/>
              <w:rPr>
                <w:rFonts w:ascii="Times New Roman" w:hAnsi="Times New Roman"/>
                <w:b/>
                <w:color w:val="000000"/>
                <w:sz w:val="24"/>
                <w:szCs w:val="24"/>
                <w:lang w:val="en-GB"/>
              </w:rPr>
            </w:pPr>
          </w:p>
        </w:tc>
      </w:tr>
      <w:tr w:rsidR="000F2B3E" w:rsidRPr="0029408A" w14:paraId="604E3486" w14:textId="77777777" w:rsidTr="0029408A">
        <w:trPr>
          <w:trHeight w:val="454"/>
        </w:trPr>
        <w:tc>
          <w:tcPr>
            <w:tcW w:w="704" w:type="dxa"/>
            <w:shd w:val="clear" w:color="auto" w:fill="auto"/>
          </w:tcPr>
          <w:p w14:paraId="14289672"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74204816" w14:textId="77777777" w:rsidR="008E08C4" w:rsidRPr="0029408A" w:rsidRDefault="00B61BB6" w:rsidP="0029408A">
            <w:pPr>
              <w:spacing w:after="0"/>
              <w:rPr>
                <w:rFonts w:ascii="Times New Roman" w:hAnsi="Times New Roman"/>
                <w:color w:val="000000"/>
                <w:sz w:val="24"/>
                <w:szCs w:val="24"/>
                <w:lang w:val="en-GB"/>
              </w:rPr>
            </w:pPr>
            <w:r w:rsidRPr="0029408A">
              <w:rPr>
                <w:rFonts w:ascii="Times New Roman" w:hAnsi="Times New Roman"/>
                <w:color w:val="000000"/>
                <w:sz w:val="24"/>
                <w:szCs w:val="24"/>
                <w:lang w:val="en-GB"/>
              </w:rPr>
              <w:t>Of which: Advanced Measurement Approaches</w:t>
            </w:r>
          </w:p>
        </w:tc>
        <w:tc>
          <w:tcPr>
            <w:tcW w:w="2268" w:type="dxa"/>
            <w:shd w:val="clear" w:color="auto" w:fill="auto"/>
          </w:tcPr>
          <w:p w14:paraId="157A686F"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409" w:type="dxa"/>
            <w:shd w:val="clear" w:color="auto" w:fill="auto"/>
          </w:tcPr>
          <w:p w14:paraId="1405284B"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c>
          <w:tcPr>
            <w:tcW w:w="2694" w:type="dxa"/>
            <w:shd w:val="clear" w:color="auto" w:fill="auto"/>
          </w:tcPr>
          <w:p w14:paraId="24E7810A" w14:textId="77777777" w:rsidR="008E08C4" w:rsidRPr="0029408A" w:rsidRDefault="008E08C4" w:rsidP="0029408A">
            <w:pPr>
              <w:spacing w:after="0"/>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X</w:t>
            </w:r>
          </w:p>
        </w:tc>
      </w:tr>
      <w:tr w:rsidR="000F2B3E" w:rsidRPr="0029408A" w14:paraId="3506F9FA" w14:textId="77777777" w:rsidTr="0029408A">
        <w:trPr>
          <w:trHeight w:val="454"/>
        </w:trPr>
        <w:tc>
          <w:tcPr>
            <w:tcW w:w="704" w:type="dxa"/>
            <w:shd w:val="clear" w:color="auto" w:fill="auto"/>
          </w:tcPr>
          <w:p w14:paraId="3341D4FE"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7F94E5B8" w14:textId="77777777" w:rsidR="008E08C4" w:rsidRPr="0029408A" w:rsidRDefault="0056590E" w:rsidP="0029408A">
            <w:pPr>
              <w:spacing w:after="0"/>
              <w:rPr>
                <w:rFonts w:ascii="Times New Roman" w:hAnsi="Times New Roman"/>
                <w:color w:val="000000"/>
                <w:sz w:val="24"/>
                <w:szCs w:val="24"/>
                <w:lang w:val="en-GB"/>
              </w:rPr>
            </w:pPr>
            <w:r w:rsidRPr="0029408A">
              <w:rPr>
                <w:rFonts w:ascii="Times New Roman" w:hAnsi="Times New Roman"/>
                <w:color w:val="000000"/>
                <w:sz w:val="24"/>
                <w:szCs w:val="24"/>
                <w:lang w:val="en-GB"/>
              </w:rPr>
              <w:t>Values ​​below the deduction thresholds (which are subject to a 250% risk weight) after applying the 250% risk weight.</w:t>
            </w:r>
          </w:p>
        </w:tc>
        <w:tc>
          <w:tcPr>
            <w:tcW w:w="2268" w:type="dxa"/>
            <w:shd w:val="clear" w:color="auto" w:fill="auto"/>
          </w:tcPr>
          <w:p w14:paraId="0E3DAEB2" w14:textId="77777777" w:rsidR="008E08C4" w:rsidRPr="0029408A" w:rsidRDefault="008E08C4" w:rsidP="0029408A">
            <w:pPr>
              <w:spacing w:after="0"/>
              <w:jc w:val="center"/>
              <w:rPr>
                <w:rFonts w:ascii="Times New Roman" w:hAnsi="Times New Roman"/>
                <w:b/>
                <w:color w:val="000000"/>
                <w:sz w:val="24"/>
                <w:szCs w:val="24"/>
                <w:lang w:val="en-GB"/>
              </w:rPr>
            </w:pPr>
          </w:p>
        </w:tc>
        <w:tc>
          <w:tcPr>
            <w:tcW w:w="2409" w:type="dxa"/>
            <w:shd w:val="clear" w:color="auto" w:fill="auto"/>
          </w:tcPr>
          <w:p w14:paraId="6F639709" w14:textId="77777777" w:rsidR="008E08C4" w:rsidRPr="0029408A" w:rsidRDefault="008E08C4" w:rsidP="0029408A">
            <w:pPr>
              <w:spacing w:after="0"/>
              <w:jc w:val="center"/>
              <w:rPr>
                <w:rFonts w:ascii="Times New Roman" w:hAnsi="Times New Roman"/>
                <w:b/>
                <w:color w:val="000000"/>
                <w:sz w:val="24"/>
                <w:szCs w:val="24"/>
                <w:lang w:val="en-GB"/>
              </w:rPr>
            </w:pPr>
          </w:p>
        </w:tc>
        <w:tc>
          <w:tcPr>
            <w:tcW w:w="2694" w:type="dxa"/>
            <w:shd w:val="clear" w:color="auto" w:fill="auto"/>
          </w:tcPr>
          <w:p w14:paraId="5AA63332" w14:textId="77777777" w:rsidR="008E08C4" w:rsidRPr="0029408A" w:rsidRDefault="008E08C4" w:rsidP="0029408A">
            <w:pPr>
              <w:spacing w:after="0"/>
              <w:jc w:val="center"/>
              <w:rPr>
                <w:rFonts w:ascii="Times New Roman" w:hAnsi="Times New Roman"/>
                <w:b/>
                <w:color w:val="000000"/>
                <w:sz w:val="24"/>
                <w:szCs w:val="24"/>
                <w:lang w:val="en-GB"/>
              </w:rPr>
            </w:pPr>
          </w:p>
        </w:tc>
      </w:tr>
      <w:tr w:rsidR="008E08C4" w:rsidRPr="0029408A" w14:paraId="2B62D719" w14:textId="77777777" w:rsidTr="0029408A">
        <w:trPr>
          <w:trHeight w:val="454"/>
        </w:trPr>
        <w:tc>
          <w:tcPr>
            <w:tcW w:w="704" w:type="dxa"/>
            <w:shd w:val="clear" w:color="auto" w:fill="auto"/>
          </w:tcPr>
          <w:p w14:paraId="67B0CC7A" w14:textId="77777777" w:rsidR="008E08C4" w:rsidRPr="0029408A" w:rsidRDefault="008E08C4" w:rsidP="0029408A">
            <w:pPr>
              <w:pStyle w:val="ListParagraph"/>
              <w:numPr>
                <w:ilvl w:val="0"/>
                <w:numId w:val="54"/>
              </w:numPr>
              <w:spacing w:line="259" w:lineRule="auto"/>
              <w:ind w:left="454" w:hanging="425"/>
              <w:contextualSpacing w:val="0"/>
              <w:rPr>
                <w:b/>
                <w:color w:val="000000"/>
              </w:rPr>
            </w:pPr>
          </w:p>
        </w:tc>
        <w:tc>
          <w:tcPr>
            <w:tcW w:w="5387" w:type="dxa"/>
            <w:shd w:val="clear" w:color="auto" w:fill="auto"/>
          </w:tcPr>
          <w:p w14:paraId="04A14A4D" w14:textId="77777777" w:rsidR="008E08C4" w:rsidRPr="0029408A" w:rsidRDefault="008E08C4" w:rsidP="0029408A">
            <w:pPr>
              <w:spacing w:after="0"/>
              <w:rPr>
                <w:rFonts w:ascii="Times New Roman" w:hAnsi="Times New Roman"/>
                <w:color w:val="000000"/>
                <w:sz w:val="24"/>
                <w:szCs w:val="24"/>
                <w:lang w:val="en-GB"/>
              </w:rPr>
            </w:pPr>
            <w:r w:rsidRPr="0029408A">
              <w:rPr>
                <w:rFonts w:ascii="Times New Roman" w:hAnsi="Times New Roman"/>
                <w:color w:val="000000"/>
                <w:sz w:val="24"/>
                <w:szCs w:val="24"/>
                <w:lang w:val="en-GB"/>
              </w:rPr>
              <w:t>Total</w:t>
            </w:r>
          </w:p>
        </w:tc>
        <w:tc>
          <w:tcPr>
            <w:tcW w:w="2268" w:type="dxa"/>
            <w:shd w:val="clear" w:color="auto" w:fill="auto"/>
          </w:tcPr>
          <w:p w14:paraId="3AAC279E" w14:textId="77777777" w:rsidR="008E08C4" w:rsidRPr="0029408A" w:rsidRDefault="008E08C4" w:rsidP="0029408A">
            <w:pPr>
              <w:spacing w:after="0"/>
              <w:jc w:val="center"/>
              <w:rPr>
                <w:rFonts w:ascii="Times New Roman" w:hAnsi="Times New Roman"/>
                <w:b/>
                <w:color w:val="000000"/>
                <w:sz w:val="24"/>
                <w:szCs w:val="24"/>
                <w:lang w:val="en-GB"/>
              </w:rPr>
            </w:pPr>
          </w:p>
        </w:tc>
        <w:tc>
          <w:tcPr>
            <w:tcW w:w="2409" w:type="dxa"/>
            <w:shd w:val="clear" w:color="auto" w:fill="auto"/>
          </w:tcPr>
          <w:p w14:paraId="7978A259" w14:textId="77777777" w:rsidR="008E08C4" w:rsidRPr="0029408A" w:rsidRDefault="008E08C4" w:rsidP="0029408A">
            <w:pPr>
              <w:spacing w:after="0"/>
              <w:jc w:val="center"/>
              <w:rPr>
                <w:rFonts w:ascii="Times New Roman" w:hAnsi="Times New Roman"/>
                <w:b/>
                <w:color w:val="000000"/>
                <w:sz w:val="24"/>
                <w:szCs w:val="24"/>
                <w:lang w:val="en-GB"/>
              </w:rPr>
            </w:pPr>
          </w:p>
        </w:tc>
        <w:tc>
          <w:tcPr>
            <w:tcW w:w="2694" w:type="dxa"/>
            <w:shd w:val="clear" w:color="auto" w:fill="auto"/>
          </w:tcPr>
          <w:p w14:paraId="23F93B40" w14:textId="77777777" w:rsidR="008E08C4" w:rsidRPr="0029408A" w:rsidRDefault="008E08C4" w:rsidP="0029408A">
            <w:pPr>
              <w:spacing w:after="0"/>
              <w:jc w:val="center"/>
              <w:rPr>
                <w:rFonts w:ascii="Times New Roman" w:hAnsi="Times New Roman"/>
                <w:b/>
                <w:color w:val="000000"/>
                <w:sz w:val="24"/>
                <w:szCs w:val="24"/>
                <w:lang w:val="en-GB"/>
              </w:rPr>
            </w:pPr>
          </w:p>
        </w:tc>
      </w:tr>
    </w:tbl>
    <w:p w14:paraId="09E2B38D" w14:textId="77777777" w:rsidR="008E08C4" w:rsidRPr="0029408A" w:rsidRDefault="008E08C4" w:rsidP="008E08C4">
      <w:pPr>
        <w:rPr>
          <w:rFonts w:ascii="Times New Roman" w:hAnsi="Times New Roman"/>
          <w:b/>
          <w:color w:val="000000"/>
          <w:sz w:val="24"/>
          <w:szCs w:val="24"/>
          <w:lang w:val="en-GB"/>
        </w:rPr>
      </w:pPr>
    </w:p>
    <w:p w14:paraId="590ED70D" w14:textId="77777777" w:rsidR="008E08C4" w:rsidRPr="0029408A" w:rsidRDefault="008E08C4" w:rsidP="008E08C4">
      <w:pPr>
        <w:pStyle w:val="rg"/>
        <w:rPr>
          <w:color w:val="000000"/>
          <w:lang w:val="en-GB"/>
        </w:rPr>
        <w:sectPr w:rsidR="008E08C4" w:rsidRPr="0029408A" w:rsidSect="00D95DB1">
          <w:headerReference w:type="even" r:id="rId21"/>
          <w:headerReference w:type="default" r:id="rId22"/>
          <w:footerReference w:type="even" r:id="rId23"/>
          <w:footerReference w:type="default" r:id="rId24"/>
          <w:pgSz w:w="16839" w:h="11907" w:orient="landscape" w:code="9"/>
          <w:pgMar w:top="1276" w:right="1134" w:bottom="850" w:left="1134" w:header="708" w:footer="708" w:gutter="0"/>
          <w:cols w:space="708"/>
          <w:docGrid w:linePitch="360"/>
        </w:sectPr>
      </w:pPr>
    </w:p>
    <w:p w14:paraId="295CFBB8" w14:textId="77777777" w:rsidR="0056590E" w:rsidRPr="0029408A" w:rsidRDefault="0056590E" w:rsidP="0056590E">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lastRenderedPageBreak/>
        <w:t xml:space="preserve">Annex No. 12 </w:t>
      </w:r>
    </w:p>
    <w:p w14:paraId="6F318E31" w14:textId="77777777" w:rsidR="0056590E" w:rsidRPr="0029408A" w:rsidRDefault="0056590E" w:rsidP="0056590E">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color w:val="000000"/>
          <w:sz w:val="24"/>
          <w:szCs w:val="24"/>
          <w:lang w:val="en-GB"/>
        </w:rPr>
        <w:t xml:space="preserve">to the </w:t>
      </w:r>
      <w:r w:rsidRPr="0029408A">
        <w:rPr>
          <w:rFonts w:ascii="Times New Roman" w:eastAsia="Times New Roman" w:hAnsi="Times New Roman"/>
          <w:bCs/>
          <w:color w:val="000000"/>
          <w:sz w:val="24"/>
          <w:szCs w:val="24"/>
          <w:lang w:val="en-GB"/>
        </w:rPr>
        <w:t>Regulation on the requirements for publication</w:t>
      </w:r>
    </w:p>
    <w:p w14:paraId="5B28F186" w14:textId="77777777" w:rsidR="003D019F" w:rsidRPr="0029408A" w:rsidRDefault="0056590E" w:rsidP="0056590E">
      <w:pPr>
        <w:spacing w:after="0" w:line="240" w:lineRule="auto"/>
        <w:jc w:val="right"/>
        <w:rPr>
          <w:rFonts w:ascii="Times New Roman" w:eastAsia="Times New Roman" w:hAnsi="Times New Roman"/>
          <w:color w:val="000000"/>
          <w:sz w:val="24"/>
          <w:szCs w:val="24"/>
          <w:lang w:val="en-GB"/>
        </w:rPr>
      </w:pPr>
      <w:r w:rsidRPr="0029408A">
        <w:rPr>
          <w:rFonts w:ascii="Times New Roman" w:eastAsia="Times New Roman" w:hAnsi="Times New Roman"/>
          <w:bCs/>
          <w:color w:val="000000"/>
          <w:sz w:val="24"/>
          <w:szCs w:val="24"/>
          <w:lang w:val="en-GB"/>
        </w:rPr>
        <w:t>of information by banks</w:t>
      </w:r>
      <w:r w:rsidR="00FF5300" w:rsidRPr="0029408A">
        <w:rPr>
          <w:rFonts w:ascii="Times New Roman" w:eastAsia="Times New Roman" w:hAnsi="Times New Roman"/>
          <w:color w:val="000000"/>
          <w:sz w:val="24"/>
          <w:szCs w:val="24"/>
          <w:lang w:val="en-GB" w:eastAsia="ru-RU"/>
        </w:rPr>
        <w:t xml:space="preserve"> </w:t>
      </w:r>
    </w:p>
    <w:p w14:paraId="4CC6881B" w14:textId="77777777" w:rsidR="008E08C4" w:rsidRPr="0029408A" w:rsidRDefault="008E08C4" w:rsidP="008E08C4">
      <w:pPr>
        <w:jc w:val="right"/>
        <w:rPr>
          <w:rFonts w:ascii="Times New Roman" w:hAnsi="Times New Roman"/>
          <w:color w:val="000000"/>
          <w:sz w:val="24"/>
          <w:szCs w:val="24"/>
          <w:lang w:val="en-GB"/>
        </w:rPr>
      </w:pPr>
    </w:p>
    <w:p w14:paraId="77605942" w14:textId="77777777" w:rsidR="008E08C4" w:rsidRPr="0029408A" w:rsidRDefault="00324A15" w:rsidP="008E08C4">
      <w:pPr>
        <w:spacing w:before="240" w:after="120"/>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STANDARD FORMAT FOR PUBLISHING INFORMATION ON THE BANK'S COMPLIANCE WITH THE COUNTERCYCLICAL CAPITAL BUFFER REQUIREMENT</w:t>
      </w:r>
    </w:p>
    <w:p w14:paraId="464D36EE" w14:textId="77777777" w:rsidR="008E08C4" w:rsidRPr="0029408A" w:rsidRDefault="00324A15" w:rsidP="008E08C4">
      <w:pPr>
        <w:spacing w:before="240" w:after="120"/>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Table</w:t>
      </w:r>
      <w:r w:rsidR="008E08C4" w:rsidRPr="0029408A">
        <w:rPr>
          <w:rFonts w:ascii="Times New Roman" w:hAnsi="Times New Roman"/>
          <w:b/>
          <w:bCs/>
          <w:color w:val="000000"/>
          <w:sz w:val="24"/>
          <w:szCs w:val="24"/>
          <w:lang w:val="en-GB"/>
        </w:rPr>
        <w:t xml:space="preserve"> 1</w:t>
      </w:r>
    </w:p>
    <w:p w14:paraId="1B412F57" w14:textId="77777777" w:rsidR="008E08C4" w:rsidRPr="0029408A" w:rsidRDefault="002D1237" w:rsidP="008E08C4">
      <w:pPr>
        <w:spacing w:before="120" w:after="120"/>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Geographical distribution of credit exposures relevant for the calculation of the countercyclical capital buffer</w:t>
      </w:r>
    </w:p>
    <w:p w14:paraId="2EC1DF25" w14:textId="77777777" w:rsidR="008E08C4" w:rsidRPr="0029408A" w:rsidRDefault="008E08C4" w:rsidP="008E08C4">
      <w:pPr>
        <w:spacing w:before="120" w:after="120"/>
        <w:jc w:val="center"/>
        <w:rPr>
          <w:rFonts w:ascii="Times New Roman" w:hAnsi="Times New Roman"/>
          <w:b/>
          <w:bCs/>
          <w:color w:val="000000"/>
          <w:sz w:val="24"/>
          <w:szCs w:val="24"/>
          <w:lang w:val="en-GB"/>
        </w:rPr>
      </w:pPr>
    </w:p>
    <w:tbl>
      <w:tblPr>
        <w:tblW w:w="150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2268"/>
        <w:gridCol w:w="879"/>
        <w:gridCol w:w="850"/>
        <w:gridCol w:w="1134"/>
        <w:gridCol w:w="1195"/>
        <w:gridCol w:w="931"/>
        <w:gridCol w:w="851"/>
        <w:gridCol w:w="992"/>
        <w:gridCol w:w="992"/>
        <w:gridCol w:w="851"/>
        <w:gridCol w:w="709"/>
        <w:gridCol w:w="1275"/>
        <w:gridCol w:w="1193"/>
      </w:tblGrid>
      <w:tr w:rsidR="00074C65" w:rsidRPr="0029408A" w14:paraId="5B96E43B" w14:textId="77777777" w:rsidTr="0029408A">
        <w:trPr>
          <w:trHeight w:val="874"/>
        </w:trPr>
        <w:tc>
          <w:tcPr>
            <w:tcW w:w="903" w:type="dxa"/>
            <w:vMerge w:val="restart"/>
            <w:shd w:val="clear" w:color="auto" w:fill="auto"/>
          </w:tcPr>
          <w:p w14:paraId="5E9A4D4E"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p w14:paraId="60949262"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p w14:paraId="3EC0ACC4"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p w14:paraId="00B0BC04"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p w14:paraId="17298CA5"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p w14:paraId="30054958"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p w14:paraId="55DB8B2C"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p w14:paraId="62770324" w14:textId="77777777" w:rsidR="008E08C4" w:rsidRPr="0029408A" w:rsidRDefault="008F5B54" w:rsidP="0029408A">
            <w:pPr>
              <w:spacing w:before="120" w:after="120" w:line="240" w:lineRule="auto"/>
              <w:jc w:val="center"/>
              <w:rPr>
                <w:rFonts w:ascii="Times New Roman" w:hAnsi="Times New Roman"/>
                <w:color w:val="000000"/>
                <w:sz w:val="24"/>
                <w:szCs w:val="24"/>
                <w:lang w:val="en-GB"/>
              </w:rPr>
            </w:pPr>
            <w:r w:rsidRPr="0029408A">
              <w:rPr>
                <w:rFonts w:ascii="Times New Roman" w:hAnsi="Times New Roman"/>
                <w:color w:val="000000"/>
                <w:sz w:val="24"/>
                <w:szCs w:val="24"/>
                <w:lang w:val="en-GB"/>
              </w:rPr>
              <w:t>Row</w:t>
            </w:r>
          </w:p>
        </w:tc>
        <w:tc>
          <w:tcPr>
            <w:tcW w:w="2268" w:type="dxa"/>
            <w:vMerge w:val="restart"/>
            <w:shd w:val="clear" w:color="auto" w:fill="auto"/>
          </w:tcPr>
          <w:p w14:paraId="0AC070AC"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729" w:type="dxa"/>
            <w:gridSpan w:val="2"/>
            <w:shd w:val="clear" w:color="auto" w:fill="auto"/>
          </w:tcPr>
          <w:p w14:paraId="13AF1BE0" w14:textId="77777777" w:rsidR="008E08C4" w:rsidRPr="0029408A" w:rsidRDefault="002D1237" w:rsidP="0029408A">
            <w:pPr>
              <w:spacing w:before="120" w:after="120" w:line="240" w:lineRule="auto"/>
              <w:jc w:val="center"/>
              <w:rPr>
                <w:rFonts w:ascii="Times New Roman" w:hAnsi="Times New Roman"/>
                <w:color w:val="000000"/>
                <w:sz w:val="24"/>
                <w:szCs w:val="24"/>
                <w:lang w:val="en-GB"/>
              </w:rPr>
            </w:pPr>
            <w:r w:rsidRPr="0029408A">
              <w:rPr>
                <w:rFonts w:ascii="Times New Roman" w:hAnsi="Times New Roman"/>
                <w:b/>
                <w:bCs/>
                <w:color w:val="000000"/>
                <w:sz w:val="24"/>
                <w:szCs w:val="24"/>
                <w:lang w:val="en-GB"/>
              </w:rPr>
              <w:t>General exposures from loans</w:t>
            </w:r>
          </w:p>
        </w:tc>
        <w:tc>
          <w:tcPr>
            <w:tcW w:w="2329" w:type="dxa"/>
            <w:gridSpan w:val="2"/>
            <w:shd w:val="clear" w:color="auto" w:fill="auto"/>
          </w:tcPr>
          <w:p w14:paraId="3FCD2C5A" w14:textId="77777777" w:rsidR="008E08C4" w:rsidRPr="0029408A" w:rsidRDefault="002D1237" w:rsidP="0029408A">
            <w:pPr>
              <w:spacing w:before="120" w:after="120" w:line="240" w:lineRule="auto"/>
              <w:jc w:val="center"/>
              <w:rPr>
                <w:rFonts w:ascii="Times New Roman" w:hAnsi="Times New Roman"/>
                <w:color w:val="000000"/>
                <w:sz w:val="24"/>
                <w:szCs w:val="24"/>
                <w:lang w:val="en-GB"/>
              </w:rPr>
            </w:pPr>
            <w:r w:rsidRPr="0029408A">
              <w:rPr>
                <w:rFonts w:ascii="Times New Roman" w:hAnsi="Times New Roman"/>
                <w:b/>
                <w:bCs/>
                <w:color w:val="000000"/>
                <w:sz w:val="24"/>
                <w:szCs w:val="24"/>
                <w:lang w:val="en-GB"/>
              </w:rPr>
              <w:t>Exposures included in the trading book</w:t>
            </w:r>
          </w:p>
        </w:tc>
        <w:tc>
          <w:tcPr>
            <w:tcW w:w="1782" w:type="dxa"/>
            <w:gridSpan w:val="2"/>
            <w:shd w:val="clear" w:color="auto" w:fill="auto"/>
          </w:tcPr>
          <w:p w14:paraId="3D2B5994" w14:textId="77777777" w:rsidR="008E08C4" w:rsidRPr="0029408A" w:rsidRDefault="002D1237" w:rsidP="0029408A">
            <w:pPr>
              <w:spacing w:before="120" w:after="120" w:line="240" w:lineRule="auto"/>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Securitization exposures</w:t>
            </w:r>
          </w:p>
        </w:tc>
        <w:tc>
          <w:tcPr>
            <w:tcW w:w="3544" w:type="dxa"/>
            <w:gridSpan w:val="4"/>
            <w:shd w:val="clear" w:color="auto" w:fill="auto"/>
          </w:tcPr>
          <w:p w14:paraId="43185749" w14:textId="77777777" w:rsidR="008E08C4" w:rsidRPr="0029408A" w:rsidRDefault="002D1237" w:rsidP="0029408A">
            <w:pPr>
              <w:spacing w:before="120" w:after="120" w:line="240" w:lineRule="auto"/>
              <w:jc w:val="center"/>
              <w:rPr>
                <w:rFonts w:ascii="Times New Roman" w:hAnsi="Times New Roman"/>
                <w:color w:val="000000"/>
                <w:sz w:val="24"/>
                <w:szCs w:val="24"/>
                <w:lang w:val="en-GB"/>
              </w:rPr>
            </w:pPr>
            <w:r w:rsidRPr="0029408A">
              <w:rPr>
                <w:rFonts w:ascii="Times New Roman" w:hAnsi="Times New Roman"/>
                <w:b/>
                <w:bCs/>
                <w:color w:val="000000"/>
                <w:sz w:val="24"/>
                <w:szCs w:val="24"/>
                <w:lang w:val="en-GB"/>
              </w:rPr>
              <w:t>Own funds requirements</w:t>
            </w:r>
          </w:p>
        </w:tc>
        <w:tc>
          <w:tcPr>
            <w:tcW w:w="1275" w:type="dxa"/>
            <w:vMerge w:val="restart"/>
            <w:shd w:val="clear" w:color="auto" w:fill="auto"/>
          </w:tcPr>
          <w:p w14:paraId="17D9612A" w14:textId="77777777" w:rsidR="008E08C4" w:rsidRPr="0029408A" w:rsidRDefault="008F5B54" w:rsidP="0029408A">
            <w:pPr>
              <w:spacing w:before="120" w:after="120" w:line="240" w:lineRule="auto"/>
              <w:jc w:val="center"/>
              <w:rPr>
                <w:rFonts w:ascii="Times New Roman" w:hAnsi="Times New Roman"/>
                <w:color w:val="000000"/>
                <w:sz w:val="24"/>
                <w:szCs w:val="24"/>
                <w:lang w:val="en-GB"/>
              </w:rPr>
            </w:pPr>
            <w:r w:rsidRPr="0029408A">
              <w:rPr>
                <w:rFonts w:ascii="Times New Roman" w:hAnsi="Times New Roman"/>
                <w:b/>
                <w:bCs/>
                <w:color w:val="000000"/>
                <w:sz w:val="24"/>
                <w:szCs w:val="24"/>
                <w:lang w:val="en-GB"/>
              </w:rPr>
              <w:t>Weights applied to own funds requirements</w:t>
            </w:r>
          </w:p>
        </w:tc>
        <w:tc>
          <w:tcPr>
            <w:tcW w:w="1193" w:type="dxa"/>
            <w:vMerge w:val="restart"/>
            <w:shd w:val="clear" w:color="auto" w:fill="auto"/>
          </w:tcPr>
          <w:p w14:paraId="09715357" w14:textId="77777777" w:rsidR="008E08C4" w:rsidRPr="0029408A" w:rsidRDefault="008F5B54" w:rsidP="0029408A">
            <w:pPr>
              <w:spacing w:before="120" w:after="120" w:line="240" w:lineRule="auto"/>
              <w:jc w:val="center"/>
              <w:rPr>
                <w:rFonts w:ascii="Times New Roman" w:hAnsi="Times New Roman"/>
                <w:b/>
                <w:color w:val="000000"/>
                <w:sz w:val="24"/>
                <w:szCs w:val="24"/>
                <w:lang w:val="en-GB"/>
              </w:rPr>
            </w:pPr>
            <w:r w:rsidRPr="0029408A">
              <w:rPr>
                <w:rFonts w:ascii="Times New Roman" w:hAnsi="Times New Roman"/>
                <w:b/>
                <w:bCs/>
                <w:color w:val="000000"/>
                <w:sz w:val="24"/>
                <w:szCs w:val="24"/>
                <w:lang w:val="en-GB"/>
              </w:rPr>
              <w:t>Countercyclical capital buffer rate</w:t>
            </w:r>
          </w:p>
        </w:tc>
      </w:tr>
      <w:tr w:rsidR="00074C65" w:rsidRPr="0029408A" w14:paraId="4CDA307F" w14:textId="77777777" w:rsidTr="0029408A">
        <w:trPr>
          <w:cantSplit/>
          <w:trHeight w:val="3328"/>
        </w:trPr>
        <w:tc>
          <w:tcPr>
            <w:tcW w:w="903" w:type="dxa"/>
            <w:vMerge/>
            <w:shd w:val="clear" w:color="auto" w:fill="auto"/>
          </w:tcPr>
          <w:p w14:paraId="46BE8B0B"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2268" w:type="dxa"/>
            <w:vMerge/>
            <w:shd w:val="clear" w:color="auto" w:fill="auto"/>
          </w:tcPr>
          <w:p w14:paraId="16E8F625"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879" w:type="dxa"/>
            <w:shd w:val="clear" w:color="auto" w:fill="auto"/>
            <w:textDirection w:val="btLr"/>
          </w:tcPr>
          <w:p w14:paraId="0237B86C" w14:textId="77777777" w:rsidR="008E08C4" w:rsidRPr="0029408A" w:rsidRDefault="008F5B54" w:rsidP="0029408A">
            <w:pPr>
              <w:spacing w:before="120" w:after="120" w:line="240" w:lineRule="auto"/>
              <w:ind w:left="113" w:right="113"/>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Exposure value for the standardized approach (SA)</w:t>
            </w:r>
          </w:p>
        </w:tc>
        <w:tc>
          <w:tcPr>
            <w:tcW w:w="850" w:type="dxa"/>
            <w:shd w:val="clear" w:color="auto" w:fill="auto"/>
            <w:textDirection w:val="btLr"/>
          </w:tcPr>
          <w:p w14:paraId="2EAAA595" w14:textId="77777777" w:rsidR="008E08C4" w:rsidRPr="0029408A" w:rsidRDefault="008F5B54" w:rsidP="0029408A">
            <w:pPr>
              <w:spacing w:before="120" w:after="120" w:line="240" w:lineRule="auto"/>
              <w:ind w:left="113" w:right="113"/>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Exposure value for the IRB approach</w:t>
            </w:r>
          </w:p>
        </w:tc>
        <w:tc>
          <w:tcPr>
            <w:tcW w:w="1134" w:type="dxa"/>
            <w:shd w:val="clear" w:color="auto" w:fill="auto"/>
            <w:textDirection w:val="btLr"/>
          </w:tcPr>
          <w:p w14:paraId="639F0E42" w14:textId="77777777" w:rsidR="008E08C4" w:rsidRPr="0029408A" w:rsidRDefault="008F5B54" w:rsidP="0029408A">
            <w:pPr>
              <w:spacing w:after="120" w:line="240" w:lineRule="auto"/>
              <w:ind w:left="113" w:right="113"/>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Sum of long and short positions in the trading book</w:t>
            </w:r>
          </w:p>
        </w:tc>
        <w:tc>
          <w:tcPr>
            <w:tcW w:w="1195" w:type="dxa"/>
            <w:shd w:val="clear" w:color="auto" w:fill="auto"/>
            <w:textDirection w:val="btLr"/>
          </w:tcPr>
          <w:p w14:paraId="67F2F59B" w14:textId="77777777" w:rsidR="008E08C4" w:rsidRPr="0029408A" w:rsidRDefault="008F5B54" w:rsidP="0029408A">
            <w:pPr>
              <w:spacing w:after="120" w:line="240" w:lineRule="auto"/>
              <w:ind w:left="113" w:right="113"/>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Value of exposures included in the trading book for internal models</w:t>
            </w:r>
          </w:p>
        </w:tc>
        <w:tc>
          <w:tcPr>
            <w:tcW w:w="931" w:type="dxa"/>
            <w:shd w:val="clear" w:color="auto" w:fill="auto"/>
            <w:textDirection w:val="btLr"/>
          </w:tcPr>
          <w:p w14:paraId="6EC53045" w14:textId="77777777" w:rsidR="008E08C4" w:rsidRPr="0029408A" w:rsidRDefault="008F5B54" w:rsidP="0029408A">
            <w:pPr>
              <w:spacing w:before="120" w:after="120" w:line="240" w:lineRule="auto"/>
              <w:ind w:left="113" w:right="113"/>
              <w:jc w:val="center"/>
              <w:rPr>
                <w:rFonts w:ascii="Times New Roman" w:hAnsi="Times New Roman"/>
                <w:color w:val="000000"/>
                <w:sz w:val="24"/>
                <w:szCs w:val="24"/>
                <w:lang w:val="en-GB"/>
              </w:rPr>
            </w:pPr>
            <w:r w:rsidRPr="0029408A">
              <w:rPr>
                <w:rFonts w:ascii="Times New Roman" w:hAnsi="Times New Roman"/>
                <w:b/>
                <w:bCs/>
                <w:color w:val="000000"/>
                <w:sz w:val="24"/>
                <w:szCs w:val="24"/>
                <w:lang w:val="en-GB"/>
              </w:rPr>
              <w:t>Exposure value for the standardized approach (SA)</w:t>
            </w:r>
          </w:p>
        </w:tc>
        <w:tc>
          <w:tcPr>
            <w:tcW w:w="851" w:type="dxa"/>
            <w:shd w:val="clear" w:color="auto" w:fill="auto"/>
            <w:textDirection w:val="btLr"/>
          </w:tcPr>
          <w:p w14:paraId="1DD9B5AA" w14:textId="77777777" w:rsidR="008E08C4" w:rsidRPr="0029408A" w:rsidRDefault="008F5B54" w:rsidP="0029408A">
            <w:pPr>
              <w:spacing w:before="120" w:after="120" w:line="240" w:lineRule="auto"/>
              <w:ind w:left="113" w:right="113"/>
              <w:jc w:val="center"/>
              <w:rPr>
                <w:rFonts w:ascii="Times New Roman" w:hAnsi="Times New Roman"/>
                <w:color w:val="000000"/>
                <w:sz w:val="24"/>
                <w:szCs w:val="24"/>
                <w:lang w:val="en-GB"/>
              </w:rPr>
            </w:pPr>
            <w:r w:rsidRPr="0029408A">
              <w:rPr>
                <w:rFonts w:ascii="Times New Roman" w:hAnsi="Times New Roman"/>
                <w:b/>
                <w:bCs/>
                <w:color w:val="000000"/>
                <w:sz w:val="24"/>
                <w:szCs w:val="24"/>
                <w:lang w:val="en-GB"/>
              </w:rPr>
              <w:t>Exposure value for the IRB approach</w:t>
            </w:r>
          </w:p>
        </w:tc>
        <w:tc>
          <w:tcPr>
            <w:tcW w:w="992" w:type="dxa"/>
            <w:shd w:val="clear" w:color="auto" w:fill="auto"/>
            <w:textDirection w:val="btLr"/>
          </w:tcPr>
          <w:p w14:paraId="441AF221" w14:textId="77777777" w:rsidR="008E08C4" w:rsidRPr="0029408A" w:rsidRDefault="008F5B54" w:rsidP="0029408A">
            <w:pPr>
              <w:spacing w:before="120" w:after="120" w:line="240" w:lineRule="auto"/>
              <w:ind w:left="113" w:right="113"/>
              <w:jc w:val="center"/>
              <w:rPr>
                <w:rFonts w:ascii="Times New Roman" w:hAnsi="Times New Roman"/>
                <w:color w:val="000000"/>
                <w:sz w:val="24"/>
                <w:szCs w:val="24"/>
                <w:lang w:val="en-GB"/>
              </w:rPr>
            </w:pPr>
            <w:r w:rsidRPr="0029408A">
              <w:rPr>
                <w:rFonts w:ascii="Times New Roman" w:hAnsi="Times New Roman"/>
                <w:b/>
                <w:bCs/>
                <w:color w:val="000000"/>
                <w:sz w:val="24"/>
                <w:szCs w:val="24"/>
                <w:lang w:val="en-GB"/>
              </w:rPr>
              <w:t>Of which: General Credit Exposures</w:t>
            </w:r>
          </w:p>
        </w:tc>
        <w:tc>
          <w:tcPr>
            <w:tcW w:w="992" w:type="dxa"/>
            <w:shd w:val="clear" w:color="auto" w:fill="auto"/>
            <w:textDirection w:val="btLr"/>
          </w:tcPr>
          <w:p w14:paraId="58C7BEBE" w14:textId="77777777" w:rsidR="008E08C4" w:rsidRPr="0029408A" w:rsidRDefault="006666BF" w:rsidP="0029408A">
            <w:pPr>
              <w:spacing w:before="120" w:after="120" w:line="240" w:lineRule="auto"/>
              <w:ind w:left="113" w:right="113"/>
              <w:jc w:val="center"/>
              <w:rPr>
                <w:rFonts w:ascii="Times New Roman" w:hAnsi="Times New Roman"/>
                <w:color w:val="000000"/>
                <w:sz w:val="24"/>
                <w:szCs w:val="24"/>
                <w:lang w:val="en-GB"/>
              </w:rPr>
            </w:pPr>
            <w:r w:rsidRPr="0029408A">
              <w:rPr>
                <w:rFonts w:ascii="Times New Roman" w:hAnsi="Times New Roman"/>
                <w:b/>
                <w:bCs/>
                <w:color w:val="000000"/>
                <w:sz w:val="24"/>
                <w:szCs w:val="24"/>
                <w:lang w:val="en-GB"/>
              </w:rPr>
              <w:t>Of which: exposures included in the trading book</w:t>
            </w:r>
          </w:p>
        </w:tc>
        <w:tc>
          <w:tcPr>
            <w:tcW w:w="851" w:type="dxa"/>
            <w:shd w:val="clear" w:color="auto" w:fill="auto"/>
            <w:textDirection w:val="btLr"/>
          </w:tcPr>
          <w:p w14:paraId="01ED684D" w14:textId="77777777" w:rsidR="008E08C4" w:rsidRPr="0029408A" w:rsidRDefault="006666BF" w:rsidP="0029408A">
            <w:pPr>
              <w:spacing w:before="120" w:after="120" w:line="240" w:lineRule="auto"/>
              <w:ind w:left="113" w:right="113"/>
              <w:jc w:val="center"/>
              <w:rPr>
                <w:rFonts w:ascii="Times New Roman" w:hAnsi="Times New Roman"/>
                <w:color w:val="000000"/>
                <w:sz w:val="24"/>
                <w:szCs w:val="24"/>
                <w:lang w:val="en-GB"/>
              </w:rPr>
            </w:pPr>
            <w:r w:rsidRPr="0029408A">
              <w:rPr>
                <w:rFonts w:ascii="Times New Roman" w:hAnsi="Times New Roman"/>
                <w:b/>
                <w:bCs/>
                <w:color w:val="000000"/>
                <w:sz w:val="24"/>
                <w:szCs w:val="24"/>
                <w:lang w:val="en-GB"/>
              </w:rPr>
              <w:t>Of which: securitization exposures</w:t>
            </w:r>
          </w:p>
        </w:tc>
        <w:tc>
          <w:tcPr>
            <w:tcW w:w="709" w:type="dxa"/>
            <w:shd w:val="clear" w:color="auto" w:fill="auto"/>
            <w:textDirection w:val="btLr"/>
          </w:tcPr>
          <w:p w14:paraId="0BC70D52" w14:textId="77777777" w:rsidR="008E08C4" w:rsidRPr="0029408A" w:rsidRDefault="008E08C4" w:rsidP="0029408A">
            <w:pPr>
              <w:spacing w:before="120" w:after="120" w:line="240" w:lineRule="auto"/>
              <w:ind w:left="113" w:right="113"/>
              <w:jc w:val="center"/>
              <w:rPr>
                <w:rFonts w:ascii="Times New Roman" w:hAnsi="Times New Roman"/>
                <w:color w:val="000000"/>
                <w:sz w:val="24"/>
                <w:szCs w:val="24"/>
                <w:lang w:val="en-GB"/>
              </w:rPr>
            </w:pPr>
            <w:r w:rsidRPr="0029408A">
              <w:rPr>
                <w:rFonts w:ascii="Times New Roman" w:hAnsi="Times New Roman"/>
                <w:b/>
                <w:bCs/>
                <w:color w:val="000000"/>
                <w:sz w:val="24"/>
                <w:szCs w:val="24"/>
                <w:lang w:val="en-GB"/>
              </w:rPr>
              <w:t>Total</w:t>
            </w:r>
          </w:p>
        </w:tc>
        <w:tc>
          <w:tcPr>
            <w:tcW w:w="1275" w:type="dxa"/>
            <w:vMerge/>
            <w:shd w:val="clear" w:color="auto" w:fill="auto"/>
          </w:tcPr>
          <w:p w14:paraId="6E56B0DF"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193" w:type="dxa"/>
            <w:vMerge/>
            <w:shd w:val="clear" w:color="auto" w:fill="auto"/>
          </w:tcPr>
          <w:p w14:paraId="0ECC40AF"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r>
      <w:tr w:rsidR="00074C65" w:rsidRPr="0029408A" w14:paraId="646593E1" w14:textId="77777777" w:rsidTr="0029408A">
        <w:tc>
          <w:tcPr>
            <w:tcW w:w="903" w:type="dxa"/>
            <w:vMerge/>
            <w:shd w:val="clear" w:color="auto" w:fill="auto"/>
          </w:tcPr>
          <w:p w14:paraId="69835771" w14:textId="77777777" w:rsidR="008E08C4" w:rsidRPr="0029408A" w:rsidRDefault="008E08C4" w:rsidP="0029408A">
            <w:pPr>
              <w:spacing w:before="120" w:after="120" w:line="240" w:lineRule="auto"/>
              <w:jc w:val="center"/>
              <w:rPr>
                <w:rFonts w:ascii="Times New Roman" w:hAnsi="Times New Roman"/>
                <w:b/>
                <w:color w:val="000000"/>
                <w:sz w:val="24"/>
                <w:szCs w:val="24"/>
                <w:lang w:val="en-GB"/>
              </w:rPr>
            </w:pPr>
          </w:p>
        </w:tc>
        <w:tc>
          <w:tcPr>
            <w:tcW w:w="2268" w:type="dxa"/>
            <w:vMerge/>
            <w:shd w:val="clear" w:color="auto" w:fill="auto"/>
          </w:tcPr>
          <w:p w14:paraId="6EBE8C0D" w14:textId="77777777" w:rsidR="008E08C4" w:rsidRPr="0029408A" w:rsidRDefault="008E08C4" w:rsidP="0029408A">
            <w:pPr>
              <w:spacing w:before="120" w:after="120" w:line="240" w:lineRule="auto"/>
              <w:jc w:val="center"/>
              <w:rPr>
                <w:rFonts w:ascii="Times New Roman" w:hAnsi="Times New Roman"/>
                <w:b/>
                <w:color w:val="000000"/>
                <w:sz w:val="24"/>
                <w:szCs w:val="24"/>
                <w:lang w:val="en-GB"/>
              </w:rPr>
            </w:pPr>
          </w:p>
        </w:tc>
        <w:tc>
          <w:tcPr>
            <w:tcW w:w="879" w:type="dxa"/>
            <w:shd w:val="clear" w:color="auto" w:fill="auto"/>
          </w:tcPr>
          <w:p w14:paraId="1F0FAE2F" w14:textId="77777777" w:rsidR="008E08C4" w:rsidRPr="0029408A" w:rsidRDefault="008E08C4" w:rsidP="0029408A">
            <w:pPr>
              <w:spacing w:before="120" w:after="120" w:line="240" w:lineRule="auto"/>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010</w:t>
            </w:r>
          </w:p>
        </w:tc>
        <w:tc>
          <w:tcPr>
            <w:tcW w:w="850" w:type="dxa"/>
            <w:shd w:val="clear" w:color="auto" w:fill="auto"/>
          </w:tcPr>
          <w:p w14:paraId="379A0470" w14:textId="77777777" w:rsidR="008E08C4" w:rsidRPr="0029408A" w:rsidRDefault="008E08C4" w:rsidP="0029408A">
            <w:pPr>
              <w:spacing w:before="120" w:after="120" w:line="240" w:lineRule="auto"/>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020</w:t>
            </w:r>
          </w:p>
        </w:tc>
        <w:tc>
          <w:tcPr>
            <w:tcW w:w="1134" w:type="dxa"/>
            <w:shd w:val="clear" w:color="auto" w:fill="auto"/>
          </w:tcPr>
          <w:p w14:paraId="2AA8FB7B" w14:textId="77777777" w:rsidR="008E08C4" w:rsidRPr="0029408A" w:rsidRDefault="008E08C4" w:rsidP="0029408A">
            <w:pPr>
              <w:spacing w:before="120" w:after="120" w:line="240" w:lineRule="auto"/>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030</w:t>
            </w:r>
          </w:p>
        </w:tc>
        <w:tc>
          <w:tcPr>
            <w:tcW w:w="1195" w:type="dxa"/>
            <w:shd w:val="clear" w:color="auto" w:fill="auto"/>
          </w:tcPr>
          <w:p w14:paraId="2FC45967" w14:textId="77777777" w:rsidR="008E08C4" w:rsidRPr="0029408A" w:rsidRDefault="008E08C4" w:rsidP="0029408A">
            <w:pPr>
              <w:spacing w:before="120" w:after="120" w:line="240" w:lineRule="auto"/>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040</w:t>
            </w:r>
          </w:p>
        </w:tc>
        <w:tc>
          <w:tcPr>
            <w:tcW w:w="931" w:type="dxa"/>
            <w:shd w:val="clear" w:color="auto" w:fill="auto"/>
          </w:tcPr>
          <w:p w14:paraId="1AA69558" w14:textId="77777777" w:rsidR="008E08C4" w:rsidRPr="0029408A" w:rsidRDefault="008E08C4" w:rsidP="0029408A">
            <w:pPr>
              <w:spacing w:before="120" w:after="120" w:line="240" w:lineRule="auto"/>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050</w:t>
            </w:r>
          </w:p>
        </w:tc>
        <w:tc>
          <w:tcPr>
            <w:tcW w:w="851" w:type="dxa"/>
            <w:shd w:val="clear" w:color="auto" w:fill="auto"/>
          </w:tcPr>
          <w:p w14:paraId="03BC0B0B" w14:textId="77777777" w:rsidR="008E08C4" w:rsidRPr="0029408A" w:rsidRDefault="008E08C4" w:rsidP="0029408A">
            <w:pPr>
              <w:spacing w:before="120" w:after="120" w:line="240" w:lineRule="auto"/>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060</w:t>
            </w:r>
          </w:p>
        </w:tc>
        <w:tc>
          <w:tcPr>
            <w:tcW w:w="992" w:type="dxa"/>
            <w:shd w:val="clear" w:color="auto" w:fill="auto"/>
          </w:tcPr>
          <w:p w14:paraId="60004FB4" w14:textId="77777777" w:rsidR="008E08C4" w:rsidRPr="0029408A" w:rsidRDefault="008E08C4" w:rsidP="0029408A">
            <w:pPr>
              <w:spacing w:before="120" w:after="120" w:line="240" w:lineRule="auto"/>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070</w:t>
            </w:r>
          </w:p>
        </w:tc>
        <w:tc>
          <w:tcPr>
            <w:tcW w:w="992" w:type="dxa"/>
            <w:shd w:val="clear" w:color="auto" w:fill="auto"/>
          </w:tcPr>
          <w:p w14:paraId="06FE9AC4" w14:textId="77777777" w:rsidR="008E08C4" w:rsidRPr="0029408A" w:rsidRDefault="008E08C4" w:rsidP="0029408A">
            <w:pPr>
              <w:spacing w:before="120" w:after="120" w:line="240" w:lineRule="auto"/>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080</w:t>
            </w:r>
          </w:p>
        </w:tc>
        <w:tc>
          <w:tcPr>
            <w:tcW w:w="851" w:type="dxa"/>
            <w:shd w:val="clear" w:color="auto" w:fill="auto"/>
          </w:tcPr>
          <w:p w14:paraId="7083F3AB" w14:textId="77777777" w:rsidR="008E08C4" w:rsidRPr="0029408A" w:rsidRDefault="008E08C4" w:rsidP="0029408A">
            <w:pPr>
              <w:spacing w:before="120" w:after="120" w:line="240" w:lineRule="auto"/>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090</w:t>
            </w:r>
          </w:p>
        </w:tc>
        <w:tc>
          <w:tcPr>
            <w:tcW w:w="709" w:type="dxa"/>
            <w:shd w:val="clear" w:color="auto" w:fill="auto"/>
          </w:tcPr>
          <w:p w14:paraId="1127D63E" w14:textId="77777777" w:rsidR="008E08C4" w:rsidRPr="0029408A" w:rsidRDefault="008E08C4" w:rsidP="0029408A">
            <w:pPr>
              <w:spacing w:before="120" w:after="120" w:line="240" w:lineRule="auto"/>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100</w:t>
            </w:r>
          </w:p>
        </w:tc>
        <w:tc>
          <w:tcPr>
            <w:tcW w:w="1275" w:type="dxa"/>
            <w:shd w:val="clear" w:color="auto" w:fill="auto"/>
          </w:tcPr>
          <w:p w14:paraId="4052CA63" w14:textId="77777777" w:rsidR="008E08C4" w:rsidRPr="0029408A" w:rsidRDefault="008E08C4" w:rsidP="0029408A">
            <w:pPr>
              <w:spacing w:before="120" w:after="120" w:line="240" w:lineRule="auto"/>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110</w:t>
            </w:r>
          </w:p>
        </w:tc>
        <w:tc>
          <w:tcPr>
            <w:tcW w:w="1193" w:type="dxa"/>
            <w:shd w:val="clear" w:color="auto" w:fill="auto"/>
          </w:tcPr>
          <w:p w14:paraId="432B04D7" w14:textId="77777777" w:rsidR="008E08C4" w:rsidRPr="0029408A" w:rsidRDefault="008E08C4" w:rsidP="0029408A">
            <w:pPr>
              <w:spacing w:before="120" w:after="120" w:line="240" w:lineRule="auto"/>
              <w:jc w:val="center"/>
              <w:rPr>
                <w:rFonts w:ascii="Times New Roman" w:hAnsi="Times New Roman"/>
                <w:b/>
                <w:color w:val="000000"/>
                <w:sz w:val="24"/>
                <w:szCs w:val="24"/>
                <w:lang w:val="en-GB"/>
              </w:rPr>
            </w:pPr>
            <w:r w:rsidRPr="0029408A">
              <w:rPr>
                <w:rFonts w:ascii="Times New Roman" w:hAnsi="Times New Roman"/>
                <w:b/>
                <w:color w:val="000000"/>
                <w:sz w:val="24"/>
                <w:szCs w:val="24"/>
                <w:lang w:val="en-GB"/>
              </w:rPr>
              <w:t>120</w:t>
            </w:r>
          </w:p>
        </w:tc>
      </w:tr>
      <w:tr w:rsidR="00074C65" w:rsidRPr="0029408A" w14:paraId="73167A93" w14:textId="77777777" w:rsidTr="0029408A">
        <w:tc>
          <w:tcPr>
            <w:tcW w:w="903" w:type="dxa"/>
            <w:shd w:val="clear" w:color="auto" w:fill="auto"/>
          </w:tcPr>
          <w:p w14:paraId="27E70E88"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r w:rsidRPr="0029408A">
              <w:rPr>
                <w:rFonts w:ascii="Times New Roman" w:hAnsi="Times New Roman"/>
                <w:color w:val="000000"/>
                <w:sz w:val="24"/>
                <w:szCs w:val="24"/>
                <w:lang w:val="en-GB"/>
              </w:rPr>
              <w:t>010</w:t>
            </w:r>
          </w:p>
        </w:tc>
        <w:tc>
          <w:tcPr>
            <w:tcW w:w="2268" w:type="dxa"/>
            <w:shd w:val="clear" w:color="auto" w:fill="auto"/>
          </w:tcPr>
          <w:p w14:paraId="6625518B" w14:textId="77777777" w:rsidR="008E08C4" w:rsidRPr="0029408A" w:rsidRDefault="008F5B54" w:rsidP="0029408A">
            <w:pPr>
              <w:spacing w:before="120" w:after="120" w:line="240" w:lineRule="auto"/>
              <w:jc w:val="center"/>
              <w:rPr>
                <w:rFonts w:ascii="Times New Roman" w:hAnsi="Times New Roman"/>
                <w:color w:val="000000"/>
                <w:sz w:val="24"/>
                <w:szCs w:val="24"/>
                <w:lang w:val="en-GB"/>
              </w:rPr>
            </w:pPr>
            <w:r w:rsidRPr="0029408A">
              <w:rPr>
                <w:rFonts w:ascii="Times New Roman" w:hAnsi="Times New Roman"/>
                <w:color w:val="000000"/>
                <w:sz w:val="24"/>
                <w:szCs w:val="24"/>
                <w:lang w:val="en-GB"/>
              </w:rPr>
              <w:t>Breakdown by country</w:t>
            </w:r>
          </w:p>
        </w:tc>
        <w:tc>
          <w:tcPr>
            <w:tcW w:w="879" w:type="dxa"/>
            <w:shd w:val="clear" w:color="auto" w:fill="auto"/>
          </w:tcPr>
          <w:p w14:paraId="40B62F0B"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850" w:type="dxa"/>
            <w:shd w:val="clear" w:color="auto" w:fill="auto"/>
          </w:tcPr>
          <w:p w14:paraId="283781E7"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r w:rsidRPr="0029408A">
              <w:rPr>
                <w:rFonts w:ascii="Times New Roman" w:hAnsi="Times New Roman"/>
                <w:color w:val="000000"/>
                <w:sz w:val="24"/>
                <w:szCs w:val="24"/>
                <w:lang w:val="en-GB"/>
              </w:rPr>
              <w:t>X</w:t>
            </w:r>
          </w:p>
        </w:tc>
        <w:tc>
          <w:tcPr>
            <w:tcW w:w="1134" w:type="dxa"/>
            <w:shd w:val="clear" w:color="auto" w:fill="auto"/>
          </w:tcPr>
          <w:p w14:paraId="747F4AA4"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195" w:type="dxa"/>
            <w:shd w:val="clear" w:color="auto" w:fill="auto"/>
          </w:tcPr>
          <w:p w14:paraId="525F599B"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r w:rsidRPr="0029408A">
              <w:rPr>
                <w:rFonts w:ascii="Times New Roman" w:hAnsi="Times New Roman"/>
                <w:color w:val="000000"/>
                <w:sz w:val="24"/>
                <w:szCs w:val="24"/>
                <w:lang w:val="en-GB"/>
              </w:rPr>
              <w:t>X</w:t>
            </w:r>
          </w:p>
        </w:tc>
        <w:tc>
          <w:tcPr>
            <w:tcW w:w="931" w:type="dxa"/>
            <w:shd w:val="clear" w:color="auto" w:fill="auto"/>
          </w:tcPr>
          <w:p w14:paraId="2EFD7C08"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851" w:type="dxa"/>
            <w:shd w:val="clear" w:color="auto" w:fill="auto"/>
          </w:tcPr>
          <w:p w14:paraId="4D8C07E3"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r w:rsidRPr="0029408A">
              <w:rPr>
                <w:rFonts w:ascii="Times New Roman" w:hAnsi="Times New Roman"/>
                <w:color w:val="000000"/>
                <w:sz w:val="24"/>
                <w:szCs w:val="24"/>
                <w:lang w:val="en-GB"/>
              </w:rPr>
              <w:t>X</w:t>
            </w:r>
          </w:p>
        </w:tc>
        <w:tc>
          <w:tcPr>
            <w:tcW w:w="992" w:type="dxa"/>
            <w:shd w:val="clear" w:color="auto" w:fill="auto"/>
          </w:tcPr>
          <w:p w14:paraId="10176629"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992" w:type="dxa"/>
            <w:shd w:val="clear" w:color="auto" w:fill="auto"/>
          </w:tcPr>
          <w:p w14:paraId="6CB6EC70"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851" w:type="dxa"/>
            <w:shd w:val="clear" w:color="auto" w:fill="auto"/>
          </w:tcPr>
          <w:p w14:paraId="409971B5"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709" w:type="dxa"/>
            <w:shd w:val="clear" w:color="auto" w:fill="auto"/>
          </w:tcPr>
          <w:p w14:paraId="59AC11AE"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275" w:type="dxa"/>
            <w:shd w:val="clear" w:color="auto" w:fill="auto"/>
          </w:tcPr>
          <w:p w14:paraId="392F33C0"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193" w:type="dxa"/>
            <w:shd w:val="clear" w:color="auto" w:fill="auto"/>
          </w:tcPr>
          <w:p w14:paraId="62E12A09"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r>
      <w:tr w:rsidR="00074C65" w:rsidRPr="0029408A" w14:paraId="47748B91" w14:textId="77777777" w:rsidTr="0029408A">
        <w:trPr>
          <w:trHeight w:val="420"/>
        </w:trPr>
        <w:tc>
          <w:tcPr>
            <w:tcW w:w="903" w:type="dxa"/>
            <w:shd w:val="clear" w:color="auto" w:fill="auto"/>
          </w:tcPr>
          <w:p w14:paraId="40695B67"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2268" w:type="dxa"/>
            <w:shd w:val="clear" w:color="auto" w:fill="auto"/>
          </w:tcPr>
          <w:p w14:paraId="24E45DF4" w14:textId="77777777" w:rsidR="008E08C4" w:rsidRPr="0029408A" w:rsidRDefault="008E08C4" w:rsidP="0029408A">
            <w:pPr>
              <w:spacing w:before="120" w:after="120" w:line="240" w:lineRule="auto"/>
              <w:rPr>
                <w:rFonts w:ascii="Times New Roman" w:hAnsi="Times New Roman"/>
                <w:color w:val="000000"/>
                <w:sz w:val="24"/>
                <w:szCs w:val="24"/>
                <w:lang w:val="en-GB"/>
              </w:rPr>
            </w:pPr>
            <w:proofErr w:type="spellStart"/>
            <w:r w:rsidRPr="0029408A">
              <w:rPr>
                <w:rFonts w:ascii="Times New Roman" w:hAnsi="Times New Roman"/>
                <w:color w:val="000000"/>
                <w:sz w:val="24"/>
                <w:szCs w:val="24"/>
                <w:lang w:val="en-GB"/>
              </w:rPr>
              <w:t>Țara</w:t>
            </w:r>
            <w:proofErr w:type="spellEnd"/>
            <w:r w:rsidRPr="0029408A">
              <w:rPr>
                <w:rFonts w:ascii="Times New Roman" w:hAnsi="Times New Roman"/>
                <w:color w:val="000000"/>
                <w:sz w:val="24"/>
                <w:szCs w:val="24"/>
                <w:lang w:val="en-GB"/>
              </w:rPr>
              <w:t>:      001</w:t>
            </w:r>
          </w:p>
        </w:tc>
        <w:tc>
          <w:tcPr>
            <w:tcW w:w="879" w:type="dxa"/>
            <w:shd w:val="clear" w:color="auto" w:fill="auto"/>
          </w:tcPr>
          <w:p w14:paraId="67F523D1"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850" w:type="dxa"/>
            <w:shd w:val="clear" w:color="auto" w:fill="auto"/>
          </w:tcPr>
          <w:p w14:paraId="426C0262"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134" w:type="dxa"/>
            <w:shd w:val="clear" w:color="auto" w:fill="auto"/>
          </w:tcPr>
          <w:p w14:paraId="44A4544D"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195" w:type="dxa"/>
            <w:shd w:val="clear" w:color="auto" w:fill="auto"/>
          </w:tcPr>
          <w:p w14:paraId="6F42DA9F"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931" w:type="dxa"/>
            <w:shd w:val="clear" w:color="auto" w:fill="auto"/>
          </w:tcPr>
          <w:p w14:paraId="72C9FEFE"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851" w:type="dxa"/>
            <w:shd w:val="clear" w:color="auto" w:fill="auto"/>
          </w:tcPr>
          <w:p w14:paraId="4A485294"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992" w:type="dxa"/>
            <w:shd w:val="clear" w:color="auto" w:fill="auto"/>
          </w:tcPr>
          <w:p w14:paraId="5394DECB"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992" w:type="dxa"/>
            <w:shd w:val="clear" w:color="auto" w:fill="auto"/>
          </w:tcPr>
          <w:p w14:paraId="1133E239"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851" w:type="dxa"/>
            <w:shd w:val="clear" w:color="auto" w:fill="auto"/>
          </w:tcPr>
          <w:p w14:paraId="0E7A5B55"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709" w:type="dxa"/>
            <w:shd w:val="clear" w:color="auto" w:fill="auto"/>
          </w:tcPr>
          <w:p w14:paraId="070E8F51"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275" w:type="dxa"/>
            <w:shd w:val="clear" w:color="auto" w:fill="auto"/>
          </w:tcPr>
          <w:p w14:paraId="549CDC2F"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193" w:type="dxa"/>
            <w:shd w:val="clear" w:color="auto" w:fill="auto"/>
          </w:tcPr>
          <w:p w14:paraId="20B7D509"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r>
      <w:tr w:rsidR="00074C65" w:rsidRPr="0029408A" w14:paraId="41F26532" w14:textId="77777777" w:rsidTr="0029408A">
        <w:tc>
          <w:tcPr>
            <w:tcW w:w="903" w:type="dxa"/>
            <w:shd w:val="clear" w:color="auto" w:fill="auto"/>
          </w:tcPr>
          <w:p w14:paraId="5D1B1696"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2268" w:type="dxa"/>
            <w:shd w:val="clear" w:color="auto" w:fill="auto"/>
          </w:tcPr>
          <w:p w14:paraId="733E5B52"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r w:rsidRPr="0029408A">
              <w:rPr>
                <w:rFonts w:ascii="Times New Roman" w:hAnsi="Times New Roman"/>
                <w:color w:val="000000"/>
                <w:sz w:val="24"/>
                <w:szCs w:val="24"/>
                <w:lang w:val="en-GB"/>
              </w:rPr>
              <w:t>002</w:t>
            </w:r>
          </w:p>
        </w:tc>
        <w:tc>
          <w:tcPr>
            <w:tcW w:w="879" w:type="dxa"/>
            <w:shd w:val="clear" w:color="auto" w:fill="auto"/>
          </w:tcPr>
          <w:p w14:paraId="3A424908"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850" w:type="dxa"/>
            <w:shd w:val="clear" w:color="auto" w:fill="auto"/>
          </w:tcPr>
          <w:p w14:paraId="1BF895A5"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134" w:type="dxa"/>
            <w:shd w:val="clear" w:color="auto" w:fill="auto"/>
          </w:tcPr>
          <w:p w14:paraId="2A919756"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195" w:type="dxa"/>
            <w:shd w:val="clear" w:color="auto" w:fill="auto"/>
          </w:tcPr>
          <w:p w14:paraId="2E678128"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931" w:type="dxa"/>
            <w:shd w:val="clear" w:color="auto" w:fill="auto"/>
          </w:tcPr>
          <w:p w14:paraId="53D296E0"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851" w:type="dxa"/>
            <w:shd w:val="clear" w:color="auto" w:fill="auto"/>
          </w:tcPr>
          <w:p w14:paraId="50F2E3D2"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992" w:type="dxa"/>
            <w:shd w:val="clear" w:color="auto" w:fill="auto"/>
          </w:tcPr>
          <w:p w14:paraId="111ABDF8"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992" w:type="dxa"/>
            <w:shd w:val="clear" w:color="auto" w:fill="auto"/>
          </w:tcPr>
          <w:p w14:paraId="49F67BEE"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851" w:type="dxa"/>
            <w:shd w:val="clear" w:color="auto" w:fill="auto"/>
          </w:tcPr>
          <w:p w14:paraId="0FFD3314"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709" w:type="dxa"/>
            <w:shd w:val="clear" w:color="auto" w:fill="auto"/>
          </w:tcPr>
          <w:p w14:paraId="7F9D4307"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275" w:type="dxa"/>
            <w:shd w:val="clear" w:color="auto" w:fill="auto"/>
          </w:tcPr>
          <w:p w14:paraId="4F216FA9"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193" w:type="dxa"/>
            <w:shd w:val="clear" w:color="auto" w:fill="auto"/>
          </w:tcPr>
          <w:p w14:paraId="50C573A5"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r>
      <w:tr w:rsidR="00074C65" w:rsidRPr="0029408A" w14:paraId="4A4FB0DA" w14:textId="77777777" w:rsidTr="0029408A">
        <w:tc>
          <w:tcPr>
            <w:tcW w:w="903" w:type="dxa"/>
            <w:shd w:val="clear" w:color="auto" w:fill="auto"/>
          </w:tcPr>
          <w:p w14:paraId="0B210A5B"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2268" w:type="dxa"/>
            <w:shd w:val="clear" w:color="auto" w:fill="auto"/>
          </w:tcPr>
          <w:p w14:paraId="0D96FAB6"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r w:rsidRPr="0029408A">
              <w:rPr>
                <w:rFonts w:ascii="Times New Roman" w:hAnsi="Times New Roman"/>
                <w:color w:val="000000"/>
                <w:sz w:val="24"/>
                <w:szCs w:val="24"/>
                <w:lang w:val="en-GB"/>
              </w:rPr>
              <w:t>…</w:t>
            </w:r>
          </w:p>
        </w:tc>
        <w:tc>
          <w:tcPr>
            <w:tcW w:w="879" w:type="dxa"/>
            <w:shd w:val="clear" w:color="auto" w:fill="auto"/>
          </w:tcPr>
          <w:p w14:paraId="741CCDB0"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850" w:type="dxa"/>
            <w:shd w:val="clear" w:color="auto" w:fill="auto"/>
          </w:tcPr>
          <w:p w14:paraId="100BD446"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134" w:type="dxa"/>
            <w:shd w:val="clear" w:color="auto" w:fill="auto"/>
          </w:tcPr>
          <w:p w14:paraId="30DB344F"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195" w:type="dxa"/>
            <w:shd w:val="clear" w:color="auto" w:fill="auto"/>
          </w:tcPr>
          <w:p w14:paraId="64727AFC"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931" w:type="dxa"/>
            <w:shd w:val="clear" w:color="auto" w:fill="auto"/>
          </w:tcPr>
          <w:p w14:paraId="16E50FE8"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851" w:type="dxa"/>
            <w:shd w:val="clear" w:color="auto" w:fill="auto"/>
          </w:tcPr>
          <w:p w14:paraId="6CA00282"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992" w:type="dxa"/>
            <w:shd w:val="clear" w:color="auto" w:fill="auto"/>
          </w:tcPr>
          <w:p w14:paraId="518D1D27"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992" w:type="dxa"/>
            <w:shd w:val="clear" w:color="auto" w:fill="auto"/>
          </w:tcPr>
          <w:p w14:paraId="2DA4389C"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851" w:type="dxa"/>
            <w:shd w:val="clear" w:color="auto" w:fill="auto"/>
          </w:tcPr>
          <w:p w14:paraId="101C918A"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709" w:type="dxa"/>
            <w:shd w:val="clear" w:color="auto" w:fill="auto"/>
          </w:tcPr>
          <w:p w14:paraId="33081EF2"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275" w:type="dxa"/>
            <w:shd w:val="clear" w:color="auto" w:fill="auto"/>
          </w:tcPr>
          <w:p w14:paraId="5997EC26"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193" w:type="dxa"/>
            <w:shd w:val="clear" w:color="auto" w:fill="auto"/>
          </w:tcPr>
          <w:p w14:paraId="344B5D86"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r>
      <w:tr w:rsidR="00074C65" w:rsidRPr="0029408A" w14:paraId="7492F355" w14:textId="77777777" w:rsidTr="0029408A">
        <w:tc>
          <w:tcPr>
            <w:tcW w:w="903" w:type="dxa"/>
            <w:shd w:val="clear" w:color="auto" w:fill="auto"/>
          </w:tcPr>
          <w:p w14:paraId="6E40667F"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2268" w:type="dxa"/>
            <w:shd w:val="clear" w:color="auto" w:fill="auto"/>
          </w:tcPr>
          <w:p w14:paraId="37A90508"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r w:rsidRPr="0029408A">
              <w:rPr>
                <w:rFonts w:ascii="Times New Roman" w:hAnsi="Times New Roman"/>
                <w:color w:val="000000"/>
                <w:sz w:val="24"/>
                <w:szCs w:val="24"/>
                <w:lang w:val="en-GB"/>
              </w:rPr>
              <w:t>NNN</w:t>
            </w:r>
          </w:p>
        </w:tc>
        <w:tc>
          <w:tcPr>
            <w:tcW w:w="879" w:type="dxa"/>
            <w:shd w:val="clear" w:color="auto" w:fill="auto"/>
          </w:tcPr>
          <w:p w14:paraId="6A32D726"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850" w:type="dxa"/>
            <w:shd w:val="clear" w:color="auto" w:fill="auto"/>
          </w:tcPr>
          <w:p w14:paraId="3B74C571"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134" w:type="dxa"/>
            <w:shd w:val="clear" w:color="auto" w:fill="auto"/>
          </w:tcPr>
          <w:p w14:paraId="09C74477"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195" w:type="dxa"/>
            <w:shd w:val="clear" w:color="auto" w:fill="auto"/>
          </w:tcPr>
          <w:p w14:paraId="3C9A367D"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931" w:type="dxa"/>
            <w:shd w:val="clear" w:color="auto" w:fill="auto"/>
          </w:tcPr>
          <w:p w14:paraId="0329282A"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851" w:type="dxa"/>
            <w:shd w:val="clear" w:color="auto" w:fill="auto"/>
          </w:tcPr>
          <w:p w14:paraId="5CF68310"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992" w:type="dxa"/>
            <w:shd w:val="clear" w:color="auto" w:fill="auto"/>
          </w:tcPr>
          <w:p w14:paraId="780ED24E"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992" w:type="dxa"/>
            <w:shd w:val="clear" w:color="auto" w:fill="auto"/>
          </w:tcPr>
          <w:p w14:paraId="6BA6F4D7"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851" w:type="dxa"/>
            <w:shd w:val="clear" w:color="auto" w:fill="auto"/>
          </w:tcPr>
          <w:p w14:paraId="7F0BDBB4"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709" w:type="dxa"/>
            <w:shd w:val="clear" w:color="auto" w:fill="auto"/>
          </w:tcPr>
          <w:p w14:paraId="04F8957C"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275" w:type="dxa"/>
            <w:shd w:val="clear" w:color="auto" w:fill="auto"/>
          </w:tcPr>
          <w:p w14:paraId="4F8B6AB9"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193" w:type="dxa"/>
            <w:shd w:val="clear" w:color="auto" w:fill="auto"/>
          </w:tcPr>
          <w:p w14:paraId="328A0949"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r>
      <w:tr w:rsidR="00074C65" w:rsidRPr="0029408A" w14:paraId="48B7BAF3" w14:textId="77777777" w:rsidTr="0029408A">
        <w:tc>
          <w:tcPr>
            <w:tcW w:w="903" w:type="dxa"/>
            <w:shd w:val="clear" w:color="auto" w:fill="auto"/>
          </w:tcPr>
          <w:p w14:paraId="448DFE76"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r w:rsidRPr="0029408A">
              <w:rPr>
                <w:rFonts w:ascii="Times New Roman" w:hAnsi="Times New Roman"/>
                <w:color w:val="000000"/>
                <w:sz w:val="24"/>
                <w:szCs w:val="24"/>
                <w:lang w:val="en-GB"/>
              </w:rPr>
              <w:t>020</w:t>
            </w:r>
          </w:p>
        </w:tc>
        <w:tc>
          <w:tcPr>
            <w:tcW w:w="2268" w:type="dxa"/>
            <w:shd w:val="clear" w:color="auto" w:fill="auto"/>
          </w:tcPr>
          <w:p w14:paraId="1667D501"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879" w:type="dxa"/>
            <w:shd w:val="clear" w:color="auto" w:fill="auto"/>
          </w:tcPr>
          <w:p w14:paraId="28633C90"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850" w:type="dxa"/>
            <w:shd w:val="clear" w:color="auto" w:fill="auto"/>
          </w:tcPr>
          <w:p w14:paraId="021738CF"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134" w:type="dxa"/>
            <w:shd w:val="clear" w:color="auto" w:fill="auto"/>
          </w:tcPr>
          <w:p w14:paraId="4FEAFE2B"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195" w:type="dxa"/>
            <w:shd w:val="clear" w:color="auto" w:fill="auto"/>
          </w:tcPr>
          <w:p w14:paraId="05258E78"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931" w:type="dxa"/>
            <w:shd w:val="clear" w:color="auto" w:fill="auto"/>
          </w:tcPr>
          <w:p w14:paraId="0CD749B8"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851" w:type="dxa"/>
            <w:shd w:val="clear" w:color="auto" w:fill="auto"/>
          </w:tcPr>
          <w:p w14:paraId="3A33CD32"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992" w:type="dxa"/>
            <w:shd w:val="clear" w:color="auto" w:fill="auto"/>
          </w:tcPr>
          <w:p w14:paraId="7053B73A"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992" w:type="dxa"/>
            <w:shd w:val="clear" w:color="auto" w:fill="auto"/>
          </w:tcPr>
          <w:p w14:paraId="56A91186"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851" w:type="dxa"/>
            <w:shd w:val="clear" w:color="auto" w:fill="auto"/>
          </w:tcPr>
          <w:p w14:paraId="2F12196C"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709" w:type="dxa"/>
            <w:shd w:val="clear" w:color="auto" w:fill="auto"/>
          </w:tcPr>
          <w:p w14:paraId="6466129C"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275" w:type="dxa"/>
            <w:shd w:val="clear" w:color="auto" w:fill="auto"/>
          </w:tcPr>
          <w:p w14:paraId="3AE4C45D"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c>
          <w:tcPr>
            <w:tcW w:w="1193" w:type="dxa"/>
            <w:shd w:val="clear" w:color="auto" w:fill="auto"/>
          </w:tcPr>
          <w:p w14:paraId="754DE784" w14:textId="77777777" w:rsidR="008E08C4" w:rsidRPr="0029408A" w:rsidRDefault="008E08C4" w:rsidP="0029408A">
            <w:pPr>
              <w:spacing w:before="120" w:after="120" w:line="240" w:lineRule="auto"/>
              <w:jc w:val="center"/>
              <w:rPr>
                <w:rFonts w:ascii="Times New Roman" w:hAnsi="Times New Roman"/>
                <w:color w:val="000000"/>
                <w:sz w:val="24"/>
                <w:szCs w:val="24"/>
                <w:lang w:val="en-GB"/>
              </w:rPr>
            </w:pPr>
          </w:p>
        </w:tc>
      </w:tr>
    </w:tbl>
    <w:p w14:paraId="4B8BC9D4" w14:textId="77777777" w:rsidR="008E08C4" w:rsidRPr="0029408A" w:rsidRDefault="008E08C4" w:rsidP="008E08C4">
      <w:pPr>
        <w:pStyle w:val="rg"/>
        <w:rPr>
          <w:color w:val="000000"/>
          <w:lang w:val="en-GB"/>
        </w:rPr>
      </w:pPr>
    </w:p>
    <w:p w14:paraId="4CCAA3C7" w14:textId="77777777" w:rsidR="008E08C4" w:rsidRPr="0029408A" w:rsidRDefault="00E57D57" w:rsidP="008E08C4">
      <w:pPr>
        <w:pStyle w:val="ti-tbl"/>
        <w:shd w:val="clear" w:color="auto" w:fill="FFFFFF"/>
        <w:spacing w:before="120" w:beforeAutospacing="0" w:after="120" w:afterAutospacing="0"/>
        <w:jc w:val="center"/>
        <w:rPr>
          <w:b/>
          <w:color w:val="000000"/>
          <w:lang w:val="en-GB"/>
        </w:rPr>
      </w:pPr>
      <w:r w:rsidRPr="0029408A">
        <w:rPr>
          <w:rStyle w:val="italic"/>
          <w:iCs/>
          <w:color w:val="000000"/>
          <w:lang w:val="en-GB"/>
        </w:rPr>
        <w:t>Table</w:t>
      </w:r>
      <w:r w:rsidR="008E08C4" w:rsidRPr="0029408A">
        <w:rPr>
          <w:rStyle w:val="italic"/>
          <w:iCs/>
          <w:color w:val="000000"/>
          <w:lang w:val="en-GB"/>
        </w:rPr>
        <w:t xml:space="preserve"> 2</w:t>
      </w:r>
    </w:p>
    <w:p w14:paraId="14F9FA5D" w14:textId="77777777" w:rsidR="008E08C4" w:rsidRPr="0029408A" w:rsidRDefault="009654B6" w:rsidP="008E08C4">
      <w:pPr>
        <w:pStyle w:val="ti-tbl"/>
        <w:shd w:val="clear" w:color="auto" w:fill="FFFFFF"/>
        <w:spacing w:before="120" w:beforeAutospacing="0" w:after="120" w:afterAutospacing="0"/>
        <w:jc w:val="center"/>
        <w:rPr>
          <w:color w:val="000000"/>
          <w:lang w:val="en-GB"/>
        </w:rPr>
      </w:pPr>
      <w:r w:rsidRPr="0029408A">
        <w:rPr>
          <w:rStyle w:val="bold"/>
          <w:b/>
          <w:bCs/>
          <w:color w:val="000000"/>
          <w:lang w:val="en-GB"/>
        </w:rPr>
        <w:t>The value of the bank-specific countercyclical capital buffer</w:t>
      </w:r>
    </w:p>
    <w:tbl>
      <w:tblP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03"/>
        <w:gridCol w:w="10272"/>
        <w:gridCol w:w="1981"/>
      </w:tblGrid>
      <w:tr w:rsidR="000F2B3E" w:rsidRPr="0029408A" w14:paraId="76BE37FE" w14:textId="77777777" w:rsidTr="008E08C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0678EE" w14:textId="77777777" w:rsidR="008E08C4" w:rsidRPr="0029408A" w:rsidRDefault="009654B6" w:rsidP="008E08C4">
            <w:pPr>
              <w:pStyle w:val="tbl-hdr"/>
              <w:spacing w:before="60" w:beforeAutospacing="0" w:after="60" w:afterAutospacing="0"/>
              <w:ind w:right="195"/>
              <w:jc w:val="center"/>
              <w:rPr>
                <w:b/>
                <w:bCs/>
                <w:color w:val="000000"/>
                <w:lang w:val="en-GB"/>
              </w:rPr>
            </w:pPr>
            <w:r w:rsidRPr="0029408A">
              <w:rPr>
                <w:b/>
                <w:bCs/>
                <w:color w:val="000000"/>
                <w:lang w:val="en-GB"/>
              </w:rPr>
              <w:t>Row</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5A36AC" w14:textId="77777777" w:rsidR="008E08C4" w:rsidRPr="0029408A" w:rsidRDefault="008E08C4" w:rsidP="008E08C4">
            <w:pPr>
              <w:pStyle w:val="Normal5"/>
              <w:spacing w:before="120" w:beforeAutospacing="0" w:after="0" w:afterAutospacing="0"/>
              <w:jc w:val="both"/>
              <w:rPr>
                <w:color w:val="000000"/>
                <w:lang w:val="en-GB"/>
              </w:rPr>
            </w:pPr>
            <w:r w:rsidRPr="0029408A">
              <w:rPr>
                <w:color w:val="000000"/>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F05A1F" w14:textId="77777777" w:rsidR="008E08C4" w:rsidRPr="0029408A" w:rsidRDefault="009654B6" w:rsidP="008E08C4">
            <w:pPr>
              <w:pStyle w:val="tbl-hdr"/>
              <w:spacing w:before="60" w:beforeAutospacing="0" w:after="60" w:afterAutospacing="0"/>
              <w:ind w:right="195"/>
              <w:jc w:val="center"/>
              <w:rPr>
                <w:b/>
                <w:bCs/>
                <w:color w:val="000000"/>
                <w:lang w:val="en-GB"/>
              </w:rPr>
            </w:pPr>
            <w:r w:rsidRPr="0029408A">
              <w:rPr>
                <w:b/>
                <w:bCs/>
                <w:color w:val="000000"/>
                <w:lang w:val="en-GB"/>
              </w:rPr>
              <w:t>Column</w:t>
            </w:r>
          </w:p>
        </w:tc>
      </w:tr>
      <w:tr w:rsidR="000F2B3E" w:rsidRPr="0029408A" w14:paraId="75F8F485" w14:textId="77777777" w:rsidTr="008E08C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76F837" w14:textId="77777777" w:rsidR="008E08C4" w:rsidRPr="0029408A" w:rsidRDefault="008E08C4" w:rsidP="008E08C4">
            <w:pPr>
              <w:pStyle w:val="Normal5"/>
              <w:spacing w:before="120" w:beforeAutospacing="0" w:after="0" w:afterAutospacing="0"/>
              <w:jc w:val="both"/>
              <w:rPr>
                <w:color w:val="000000"/>
                <w:lang w:val="en-GB"/>
              </w:rPr>
            </w:pPr>
            <w:r w:rsidRPr="0029408A">
              <w:rPr>
                <w:color w:val="000000"/>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1D5A61" w14:textId="77777777" w:rsidR="008E08C4" w:rsidRPr="0029408A" w:rsidRDefault="008E08C4" w:rsidP="008E08C4">
            <w:pPr>
              <w:pStyle w:val="Normal5"/>
              <w:spacing w:before="120" w:beforeAutospacing="0" w:after="0" w:afterAutospacing="0"/>
              <w:jc w:val="both"/>
              <w:rPr>
                <w:color w:val="000000"/>
                <w:lang w:val="en-GB"/>
              </w:rPr>
            </w:pPr>
            <w:r w:rsidRPr="0029408A">
              <w:rPr>
                <w:color w:val="000000"/>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211395" w14:textId="77777777" w:rsidR="008E08C4" w:rsidRPr="0029408A" w:rsidRDefault="008E08C4" w:rsidP="008E08C4">
            <w:pPr>
              <w:pStyle w:val="tbl-hdr"/>
              <w:spacing w:before="60" w:beforeAutospacing="0" w:after="60" w:afterAutospacing="0"/>
              <w:ind w:right="195"/>
              <w:jc w:val="center"/>
              <w:rPr>
                <w:b/>
                <w:bCs/>
                <w:color w:val="000000"/>
                <w:lang w:val="en-GB"/>
              </w:rPr>
            </w:pPr>
            <w:r w:rsidRPr="0029408A">
              <w:rPr>
                <w:b/>
                <w:bCs/>
                <w:color w:val="000000"/>
                <w:lang w:val="en-GB"/>
              </w:rPr>
              <w:t>010</w:t>
            </w:r>
          </w:p>
        </w:tc>
      </w:tr>
      <w:tr w:rsidR="000F2B3E" w:rsidRPr="0029408A" w14:paraId="3B5B3827" w14:textId="77777777" w:rsidTr="008E08C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C997C3" w14:textId="77777777" w:rsidR="008E08C4" w:rsidRPr="0029408A" w:rsidRDefault="008E08C4" w:rsidP="008E08C4">
            <w:pPr>
              <w:pStyle w:val="tbl-txt"/>
              <w:spacing w:before="60" w:beforeAutospacing="0" w:after="60" w:afterAutospacing="0"/>
              <w:rPr>
                <w:color w:val="000000"/>
                <w:lang w:val="en-GB"/>
              </w:rPr>
            </w:pPr>
            <w:r w:rsidRPr="0029408A">
              <w:rPr>
                <w:color w:val="000000"/>
                <w:lang w:val="en-GB"/>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D00102" w14:textId="77777777" w:rsidR="008E08C4" w:rsidRPr="0029408A" w:rsidRDefault="007038CC" w:rsidP="008E08C4">
            <w:pPr>
              <w:pStyle w:val="tbl-txt"/>
              <w:spacing w:before="60" w:beforeAutospacing="0" w:after="60" w:afterAutospacing="0"/>
              <w:rPr>
                <w:color w:val="000000"/>
                <w:lang w:val="en-GB"/>
              </w:rPr>
            </w:pPr>
            <w:r w:rsidRPr="0029408A">
              <w:rPr>
                <w:color w:val="000000"/>
                <w:lang w:val="en-GB"/>
              </w:rPr>
              <w:t>The total value of the risk exposure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C39C98" w14:textId="77777777" w:rsidR="008E08C4" w:rsidRPr="0029408A" w:rsidRDefault="008E08C4" w:rsidP="008E08C4">
            <w:pPr>
              <w:pStyle w:val="Normal5"/>
              <w:spacing w:before="120" w:beforeAutospacing="0" w:after="0" w:afterAutospacing="0"/>
              <w:jc w:val="both"/>
              <w:rPr>
                <w:color w:val="000000"/>
                <w:lang w:val="en-GB"/>
              </w:rPr>
            </w:pPr>
            <w:r w:rsidRPr="0029408A">
              <w:rPr>
                <w:color w:val="000000"/>
                <w:lang w:val="en-GB"/>
              </w:rPr>
              <w:t> </w:t>
            </w:r>
          </w:p>
        </w:tc>
      </w:tr>
      <w:tr w:rsidR="000F2B3E" w:rsidRPr="0029408A" w14:paraId="29F48912" w14:textId="77777777" w:rsidTr="008E08C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860E34" w14:textId="77777777" w:rsidR="008E08C4" w:rsidRPr="0029408A" w:rsidRDefault="008E08C4" w:rsidP="008E08C4">
            <w:pPr>
              <w:pStyle w:val="tbl-txt"/>
              <w:spacing w:before="60" w:beforeAutospacing="0" w:after="60" w:afterAutospacing="0"/>
              <w:rPr>
                <w:color w:val="000000"/>
                <w:lang w:val="en-GB"/>
              </w:rPr>
            </w:pPr>
            <w:r w:rsidRPr="0029408A">
              <w:rPr>
                <w:color w:val="000000"/>
                <w:lang w:val="en-GB"/>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DBB927" w14:textId="77777777" w:rsidR="008E08C4" w:rsidRPr="0029408A" w:rsidRDefault="007038CC" w:rsidP="008E08C4">
            <w:pPr>
              <w:pStyle w:val="tbl-txt"/>
              <w:spacing w:before="60" w:beforeAutospacing="0" w:after="60" w:afterAutospacing="0"/>
              <w:rPr>
                <w:color w:val="000000"/>
                <w:lang w:val="en-GB"/>
              </w:rPr>
            </w:pPr>
            <w:r w:rsidRPr="0029408A">
              <w:rPr>
                <w:color w:val="000000"/>
                <w:lang w:val="en-GB"/>
              </w:rPr>
              <w:t>Bank-specific countercyclical capital buffer rate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5B0C52" w14:textId="77777777" w:rsidR="008E08C4" w:rsidRPr="0029408A" w:rsidRDefault="008E08C4" w:rsidP="008E08C4">
            <w:pPr>
              <w:pStyle w:val="Normal5"/>
              <w:spacing w:before="120" w:beforeAutospacing="0" w:after="0" w:afterAutospacing="0"/>
              <w:jc w:val="both"/>
              <w:rPr>
                <w:color w:val="000000"/>
                <w:lang w:val="en-GB"/>
              </w:rPr>
            </w:pPr>
            <w:r w:rsidRPr="0029408A">
              <w:rPr>
                <w:color w:val="000000"/>
                <w:lang w:val="en-GB"/>
              </w:rPr>
              <w:t> </w:t>
            </w:r>
          </w:p>
        </w:tc>
      </w:tr>
      <w:tr w:rsidR="000F2B3E" w:rsidRPr="0029408A" w14:paraId="636098E9" w14:textId="77777777" w:rsidTr="008E08C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3B44F1" w14:textId="77777777" w:rsidR="008E08C4" w:rsidRPr="0029408A" w:rsidRDefault="008E08C4" w:rsidP="008E08C4">
            <w:pPr>
              <w:pStyle w:val="tbl-txt"/>
              <w:spacing w:before="60" w:beforeAutospacing="0" w:after="60" w:afterAutospacing="0"/>
              <w:rPr>
                <w:color w:val="000000"/>
                <w:lang w:val="en-GB"/>
              </w:rPr>
            </w:pPr>
            <w:r w:rsidRPr="0029408A">
              <w:rPr>
                <w:color w:val="000000"/>
                <w:lang w:val="en-GB"/>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D09D60" w14:textId="77777777" w:rsidR="008E08C4" w:rsidRPr="0029408A" w:rsidRDefault="007038CC" w:rsidP="008E08C4">
            <w:pPr>
              <w:pStyle w:val="tbl-txt"/>
              <w:spacing w:before="60" w:beforeAutospacing="0" w:after="60" w:afterAutospacing="0"/>
              <w:rPr>
                <w:color w:val="000000"/>
                <w:lang w:val="en-GB"/>
              </w:rPr>
            </w:pPr>
            <w:r w:rsidRPr="0029408A">
              <w:rPr>
                <w:color w:val="000000"/>
                <w:lang w:val="en-GB"/>
              </w:rPr>
              <w:t>Bank-specific countercyclical capital buffer requirement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32652E" w14:textId="77777777" w:rsidR="008E08C4" w:rsidRPr="0029408A" w:rsidRDefault="008E08C4" w:rsidP="008E08C4">
            <w:pPr>
              <w:pStyle w:val="Normal5"/>
              <w:spacing w:before="120" w:beforeAutospacing="0" w:after="0" w:afterAutospacing="0"/>
              <w:jc w:val="both"/>
              <w:rPr>
                <w:color w:val="000000"/>
                <w:lang w:val="en-GB"/>
              </w:rPr>
            </w:pPr>
            <w:r w:rsidRPr="0029408A">
              <w:rPr>
                <w:color w:val="000000"/>
                <w:lang w:val="en-GB"/>
              </w:rPr>
              <w:t> </w:t>
            </w:r>
          </w:p>
        </w:tc>
      </w:tr>
    </w:tbl>
    <w:p w14:paraId="0BD6FE96" w14:textId="77777777" w:rsidR="008E08C4" w:rsidRPr="0029408A" w:rsidRDefault="008E08C4" w:rsidP="008E08C4">
      <w:pPr>
        <w:jc w:val="right"/>
        <w:rPr>
          <w:rFonts w:ascii="Times New Roman" w:hAnsi="Times New Roman"/>
          <w:color w:val="000000"/>
          <w:sz w:val="24"/>
          <w:szCs w:val="24"/>
          <w:lang w:val="en-GB"/>
        </w:rPr>
      </w:pPr>
    </w:p>
    <w:p w14:paraId="51F16F19" w14:textId="77777777" w:rsidR="008E08C4" w:rsidRPr="0029408A" w:rsidRDefault="008E08C4" w:rsidP="008E08C4">
      <w:pPr>
        <w:shd w:val="clear" w:color="auto" w:fill="FFFFFF"/>
        <w:spacing w:before="240" w:after="120"/>
        <w:jc w:val="center"/>
        <w:rPr>
          <w:rFonts w:ascii="Times New Roman" w:hAnsi="Times New Roman"/>
          <w:b/>
          <w:bCs/>
          <w:color w:val="000000"/>
          <w:sz w:val="24"/>
          <w:szCs w:val="24"/>
          <w:lang w:val="en-GB"/>
        </w:rPr>
        <w:sectPr w:rsidR="008E08C4" w:rsidRPr="0029408A" w:rsidSect="00D95DB1">
          <w:headerReference w:type="even" r:id="rId25"/>
          <w:headerReference w:type="default" r:id="rId26"/>
          <w:footerReference w:type="even" r:id="rId27"/>
          <w:footerReference w:type="default" r:id="rId28"/>
          <w:headerReference w:type="first" r:id="rId29"/>
          <w:footerReference w:type="first" r:id="rId30"/>
          <w:pgSz w:w="15840" w:h="12240" w:orient="landscape"/>
          <w:pgMar w:top="1701" w:right="1134" w:bottom="850" w:left="1134" w:header="708" w:footer="708" w:gutter="0"/>
          <w:cols w:space="708"/>
          <w:docGrid w:linePitch="360"/>
        </w:sectPr>
      </w:pPr>
    </w:p>
    <w:p w14:paraId="363FEB2C" w14:textId="77777777" w:rsidR="0028315F" w:rsidRPr="0029408A" w:rsidRDefault="0028315F" w:rsidP="008E08C4">
      <w:pPr>
        <w:shd w:val="clear" w:color="auto" w:fill="FFFFFF"/>
        <w:spacing w:before="240" w:after="120"/>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lastRenderedPageBreak/>
        <w:t xml:space="preserve">How to fill in </w:t>
      </w:r>
    </w:p>
    <w:p w14:paraId="4D2DCFB3" w14:textId="77777777" w:rsidR="008E08C4" w:rsidRPr="0029408A" w:rsidRDefault="0028315F" w:rsidP="008E08C4">
      <w:pPr>
        <w:shd w:val="clear" w:color="auto" w:fill="FFFFFF"/>
        <w:spacing w:before="240" w:after="120"/>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standard publishing formats</w:t>
      </w:r>
    </w:p>
    <w:p w14:paraId="7185E243" w14:textId="77777777" w:rsidR="008E08C4" w:rsidRPr="0029408A" w:rsidRDefault="00BE5F4C" w:rsidP="008E08C4">
      <w:pPr>
        <w:shd w:val="clear" w:color="auto" w:fill="FFFFFF"/>
        <w:spacing w:before="240" w:after="120"/>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GENERAL INSTRUCTIONS</w:t>
      </w:r>
    </w:p>
    <w:p w14:paraId="3846152F" w14:textId="77777777" w:rsidR="008E08C4" w:rsidRPr="0029408A" w:rsidRDefault="00BE5F4C" w:rsidP="008E08C4">
      <w:pPr>
        <w:shd w:val="clear" w:color="auto" w:fill="FFFFFF"/>
        <w:spacing w:before="240" w:after="120"/>
        <w:jc w:val="both"/>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Reference data</w:t>
      </w:r>
    </w:p>
    <w:p w14:paraId="73A774D4" w14:textId="77777777" w:rsidR="008E08C4" w:rsidRPr="0029408A" w:rsidRDefault="00A606C6" w:rsidP="00A606C6">
      <w:pPr>
        <w:pStyle w:val="ListParagraph"/>
        <w:numPr>
          <w:ilvl w:val="1"/>
          <w:numId w:val="43"/>
        </w:numPr>
        <w:tabs>
          <w:tab w:val="left" w:pos="567"/>
        </w:tabs>
        <w:spacing w:before="120"/>
        <w:jc w:val="both"/>
        <w:rPr>
          <w:color w:val="000000"/>
        </w:rPr>
      </w:pPr>
      <w:r w:rsidRPr="0029408A">
        <w:rPr>
          <w:color w:val="000000"/>
        </w:rPr>
        <w:t>Under the heading "Level of application", banks shall indicate the level of application underlying the data provided in Tables 1 and 2 of this Annex. When completing this heading, banks choose one of the following options:</w:t>
      </w:r>
    </w:p>
    <w:p w14:paraId="7A39D12A" w14:textId="77777777" w:rsidR="008E08C4" w:rsidRPr="0029408A" w:rsidRDefault="008E08C4" w:rsidP="00C97322">
      <w:pPr>
        <w:pStyle w:val="ListParagraph"/>
        <w:tabs>
          <w:tab w:val="left" w:pos="567"/>
        </w:tabs>
        <w:spacing w:before="120"/>
        <w:jc w:val="both"/>
        <w:rPr>
          <w:color w:val="000000"/>
        </w:rPr>
      </w:pPr>
      <w:r w:rsidRPr="0029408A">
        <w:rPr>
          <w:color w:val="000000"/>
        </w:rPr>
        <w:t xml:space="preserve">a) </w:t>
      </w:r>
      <w:proofErr w:type="gramStart"/>
      <w:r w:rsidRPr="0029408A">
        <w:rPr>
          <w:color w:val="000000"/>
        </w:rPr>
        <w:t>consolida</w:t>
      </w:r>
      <w:r w:rsidR="00A606C6" w:rsidRPr="0029408A">
        <w:rPr>
          <w:color w:val="000000"/>
        </w:rPr>
        <w:t>ted</w:t>
      </w:r>
      <w:r w:rsidRPr="0029408A">
        <w:rPr>
          <w:color w:val="000000"/>
        </w:rPr>
        <w:t>;</w:t>
      </w:r>
      <w:proofErr w:type="gramEnd"/>
    </w:p>
    <w:p w14:paraId="171A24AF" w14:textId="77777777" w:rsidR="008E08C4" w:rsidRPr="0029408A" w:rsidRDefault="008E08C4" w:rsidP="00C97322">
      <w:pPr>
        <w:pStyle w:val="ListParagraph"/>
        <w:tabs>
          <w:tab w:val="left" w:pos="567"/>
        </w:tabs>
        <w:spacing w:before="120"/>
        <w:jc w:val="both"/>
        <w:rPr>
          <w:color w:val="000000"/>
        </w:rPr>
      </w:pPr>
      <w:r w:rsidRPr="0029408A">
        <w:rPr>
          <w:color w:val="000000"/>
        </w:rPr>
        <w:t xml:space="preserve">b) </w:t>
      </w:r>
      <w:proofErr w:type="gramStart"/>
      <w:r w:rsidRPr="0029408A">
        <w:rPr>
          <w:color w:val="000000"/>
        </w:rPr>
        <w:t>individual;</w:t>
      </w:r>
      <w:proofErr w:type="gramEnd"/>
    </w:p>
    <w:p w14:paraId="60FDFAC1" w14:textId="77777777" w:rsidR="008E08C4" w:rsidRPr="0029408A" w:rsidRDefault="00A5567B" w:rsidP="00A5567B">
      <w:pPr>
        <w:pStyle w:val="ListParagraph"/>
        <w:numPr>
          <w:ilvl w:val="1"/>
          <w:numId w:val="43"/>
        </w:numPr>
        <w:tabs>
          <w:tab w:val="left" w:pos="567"/>
        </w:tabs>
        <w:spacing w:before="120"/>
        <w:jc w:val="both"/>
        <w:rPr>
          <w:color w:val="000000"/>
        </w:rPr>
      </w:pPr>
      <w:r w:rsidRPr="0029408A">
        <w:rPr>
          <w:color w:val="000000"/>
        </w:rPr>
        <w:t>2. Banks shall complete Tables 1 and 2 of this Annex on an individual or consolidated basis, depending on the level of publication of the information.</w:t>
      </w:r>
    </w:p>
    <w:p w14:paraId="0A89AC43" w14:textId="77777777" w:rsidR="008E08C4" w:rsidRPr="0029408A" w:rsidRDefault="00A5567B" w:rsidP="008E08C4">
      <w:pPr>
        <w:shd w:val="clear" w:color="auto" w:fill="FFFFFF"/>
        <w:spacing w:before="240" w:after="120"/>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STANDARD FORMAT INSTRUCTIONS</w:t>
      </w:r>
      <w:r w:rsidR="008E08C4" w:rsidRPr="0029408A">
        <w:rPr>
          <w:rFonts w:ascii="Times New Roman" w:hAnsi="Times New Roman"/>
          <w:b/>
          <w:bCs/>
          <w:color w:val="000000"/>
          <w:sz w:val="24"/>
          <w:szCs w:val="24"/>
          <w:lang w:val="en-GB"/>
        </w:rPr>
        <w:t xml:space="preserve"> </w:t>
      </w:r>
    </w:p>
    <w:p w14:paraId="5EA23A43" w14:textId="77777777" w:rsidR="008E08C4" w:rsidRPr="0029408A" w:rsidRDefault="00A5567B" w:rsidP="008E08C4">
      <w:pPr>
        <w:shd w:val="clear" w:color="auto" w:fill="FFFFFF"/>
        <w:spacing w:before="120" w:after="120"/>
        <w:jc w:val="center"/>
        <w:rPr>
          <w:rFonts w:ascii="Times New Roman" w:hAnsi="Times New Roman"/>
          <w:color w:val="000000"/>
          <w:sz w:val="24"/>
          <w:szCs w:val="24"/>
          <w:lang w:val="en-GB"/>
        </w:rPr>
      </w:pPr>
      <w:r w:rsidRPr="0029408A">
        <w:rPr>
          <w:rFonts w:ascii="Times New Roman" w:hAnsi="Times New Roman"/>
          <w:i/>
          <w:iCs/>
          <w:color w:val="000000"/>
          <w:sz w:val="24"/>
          <w:szCs w:val="24"/>
          <w:lang w:val="en-GB"/>
        </w:rPr>
        <w:t>Table</w:t>
      </w:r>
      <w:r w:rsidR="008E08C4" w:rsidRPr="0029408A">
        <w:rPr>
          <w:rFonts w:ascii="Times New Roman" w:hAnsi="Times New Roman"/>
          <w:i/>
          <w:iCs/>
          <w:color w:val="000000"/>
          <w:sz w:val="24"/>
          <w:szCs w:val="24"/>
          <w:lang w:val="en-GB"/>
        </w:rPr>
        <w:t xml:space="preserve"> 1</w:t>
      </w:r>
    </w:p>
    <w:p w14:paraId="10A217D3" w14:textId="77777777" w:rsidR="008E08C4" w:rsidRPr="0029408A" w:rsidRDefault="0068074F" w:rsidP="008E08C4">
      <w:pPr>
        <w:shd w:val="clear" w:color="auto" w:fill="FFFFFF"/>
        <w:spacing w:before="120" w:after="120"/>
        <w:jc w:val="center"/>
        <w:rPr>
          <w:rFonts w:ascii="Times New Roman" w:hAnsi="Times New Roman"/>
          <w:color w:val="000000"/>
          <w:sz w:val="24"/>
          <w:szCs w:val="24"/>
          <w:lang w:val="en-GB"/>
        </w:rPr>
      </w:pPr>
      <w:r w:rsidRPr="0029408A">
        <w:rPr>
          <w:rFonts w:ascii="Times New Roman" w:hAnsi="Times New Roman"/>
          <w:b/>
          <w:bCs/>
          <w:color w:val="000000"/>
          <w:sz w:val="24"/>
          <w:szCs w:val="24"/>
          <w:lang w:val="en-GB"/>
        </w:rPr>
        <w:t>Geographical distribution of credit exposures relevant for the calculation of the countercyclical capital buffer</w:t>
      </w:r>
    </w:p>
    <w:p w14:paraId="3578BA51" w14:textId="77777777" w:rsidR="008E08C4" w:rsidRPr="0029408A" w:rsidRDefault="008B055F" w:rsidP="008E08C4">
      <w:pPr>
        <w:shd w:val="clear" w:color="auto" w:fill="FFFFFF"/>
        <w:spacing w:before="120"/>
        <w:jc w:val="both"/>
        <w:rPr>
          <w:rFonts w:ascii="Times New Roman" w:hAnsi="Times New Roman"/>
          <w:color w:val="000000"/>
          <w:sz w:val="24"/>
          <w:szCs w:val="24"/>
          <w:lang w:val="en-GB"/>
        </w:rPr>
      </w:pPr>
      <w:r w:rsidRPr="0029408A">
        <w:rPr>
          <w:rFonts w:ascii="Times New Roman" w:hAnsi="Times New Roman"/>
          <w:color w:val="000000"/>
          <w:sz w:val="24"/>
          <w:szCs w:val="24"/>
          <w:lang w:val="en-GB"/>
        </w:rPr>
        <w:t>The scope of Table 1 is limited to credit exposures relevant for the calculation of the countercyclical capital buffer, in accordance with Regulation no. 110/2018</w:t>
      </w:r>
      <w:r w:rsidR="008E08C4" w:rsidRPr="0029408A">
        <w:rPr>
          <w:rFonts w:ascii="Times New Roman" w:hAnsi="Times New Roman"/>
          <w:color w:val="000000"/>
          <w:sz w:val="24"/>
          <w:szCs w:val="24"/>
          <w:lang w:val="en-GB"/>
        </w:rPr>
        <w:t>.</w:t>
      </w:r>
    </w:p>
    <w:tbl>
      <w:tblP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87"/>
        <w:gridCol w:w="8686"/>
      </w:tblGrid>
      <w:tr w:rsidR="000F2B3E" w:rsidRPr="0029408A" w14:paraId="0A6DA58B" w14:textId="77777777" w:rsidTr="008E08C4">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39085E5" w14:textId="77777777" w:rsidR="008E08C4" w:rsidRPr="0029408A" w:rsidRDefault="00A154CF" w:rsidP="008E08C4">
            <w:pPr>
              <w:spacing w:before="60" w:after="60"/>
              <w:ind w:right="195"/>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Legal references and instructions</w:t>
            </w:r>
          </w:p>
        </w:tc>
      </w:tr>
      <w:tr w:rsidR="000F2B3E" w:rsidRPr="0029408A" w14:paraId="3F3AE1FB" w14:textId="77777777" w:rsidTr="00C97322">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748902" w14:textId="77777777" w:rsidR="008E08C4" w:rsidRPr="0029408A" w:rsidRDefault="00EF386F" w:rsidP="008E08C4">
            <w:pPr>
              <w:spacing w:before="60" w:after="60"/>
              <w:ind w:right="195"/>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Row no</w:t>
            </w:r>
            <w:r w:rsidR="008E08C4" w:rsidRPr="0029408A">
              <w:rPr>
                <w:rFonts w:ascii="Times New Roman" w:hAnsi="Times New Roman"/>
                <w:b/>
                <w:bCs/>
                <w:color w:val="000000"/>
                <w:sz w:val="24"/>
                <w:szCs w:val="24"/>
                <w:lang w:val="en-GB"/>
              </w:rPr>
              <w:t>.</w:t>
            </w:r>
          </w:p>
        </w:tc>
        <w:tc>
          <w:tcPr>
            <w:tcW w:w="4490" w:type="pct"/>
            <w:tcBorders>
              <w:top w:val="single" w:sz="6" w:space="0" w:color="000000"/>
              <w:left w:val="single" w:sz="6" w:space="0" w:color="000000"/>
              <w:bottom w:val="single" w:sz="6" w:space="0" w:color="000000"/>
              <w:right w:val="single" w:sz="6" w:space="0" w:color="000000"/>
            </w:tcBorders>
            <w:shd w:val="clear" w:color="auto" w:fill="FFFFFF"/>
            <w:hideMark/>
          </w:tcPr>
          <w:p w14:paraId="30B8DE74" w14:textId="77777777" w:rsidR="008E08C4" w:rsidRPr="0029408A" w:rsidRDefault="00EF386F" w:rsidP="008E08C4">
            <w:pPr>
              <w:spacing w:before="60" w:after="60"/>
              <w:ind w:right="195"/>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Explanation</w:t>
            </w:r>
          </w:p>
        </w:tc>
      </w:tr>
      <w:tr w:rsidR="000F2B3E" w:rsidRPr="0029408A" w14:paraId="786D7E5F" w14:textId="77777777" w:rsidTr="00C97322">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FC2BDB" w14:textId="77777777" w:rsidR="008E08C4" w:rsidRPr="0029408A" w:rsidRDefault="008E08C4" w:rsidP="008E08C4">
            <w:pPr>
              <w:spacing w:before="60" w:after="60"/>
              <w:rPr>
                <w:rFonts w:ascii="Times New Roman" w:hAnsi="Times New Roman"/>
                <w:color w:val="000000"/>
                <w:sz w:val="24"/>
                <w:szCs w:val="24"/>
                <w:lang w:val="en-GB"/>
              </w:rPr>
            </w:pPr>
            <w:r w:rsidRPr="0029408A">
              <w:rPr>
                <w:rFonts w:ascii="Times New Roman" w:hAnsi="Times New Roman"/>
                <w:color w:val="000000"/>
                <w:sz w:val="24"/>
                <w:szCs w:val="24"/>
                <w:lang w:val="en-GB"/>
              </w:rPr>
              <w:t>010-01X</w:t>
            </w:r>
          </w:p>
        </w:tc>
        <w:tc>
          <w:tcPr>
            <w:tcW w:w="4490" w:type="pct"/>
            <w:tcBorders>
              <w:top w:val="single" w:sz="6" w:space="0" w:color="000000"/>
              <w:left w:val="single" w:sz="6" w:space="0" w:color="000000"/>
              <w:bottom w:val="single" w:sz="6" w:space="0" w:color="000000"/>
              <w:right w:val="single" w:sz="6" w:space="0" w:color="000000"/>
            </w:tcBorders>
            <w:shd w:val="clear" w:color="auto" w:fill="FFFFFF"/>
            <w:hideMark/>
          </w:tcPr>
          <w:p w14:paraId="752B49F2" w14:textId="77777777" w:rsidR="008E08C4" w:rsidRPr="0029408A" w:rsidRDefault="004D2276" w:rsidP="008E08C4">
            <w:pPr>
              <w:tabs>
                <w:tab w:val="left" w:pos="13166"/>
              </w:tabs>
              <w:spacing w:after="120"/>
              <w:ind w:right="234"/>
              <w:jc w:val="both"/>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 xml:space="preserve">Breakdown </w:t>
            </w:r>
            <w:r w:rsidR="00D72B15" w:rsidRPr="0029408A">
              <w:rPr>
                <w:rFonts w:ascii="Times New Roman" w:hAnsi="Times New Roman"/>
                <w:b/>
                <w:bCs/>
                <w:color w:val="000000"/>
                <w:sz w:val="24"/>
                <w:szCs w:val="24"/>
                <w:lang w:val="en-GB"/>
              </w:rPr>
              <w:t xml:space="preserve">of </w:t>
            </w:r>
            <w:r w:rsidR="00D72B15" w:rsidRPr="0029408A">
              <w:rPr>
                <w:rFonts w:ascii="Times New Roman" w:hAnsi="Times New Roman"/>
                <w:b/>
                <w:color w:val="000000"/>
                <w:sz w:val="24"/>
                <w:szCs w:val="24"/>
                <w:lang w:val="en-GB"/>
              </w:rPr>
              <w:t>exposures from relevant credit</w:t>
            </w:r>
            <w:r w:rsidRPr="0029408A">
              <w:rPr>
                <w:rFonts w:ascii="Times New Roman" w:hAnsi="Times New Roman"/>
                <w:b/>
                <w:bCs/>
                <w:color w:val="000000"/>
                <w:sz w:val="24"/>
                <w:szCs w:val="24"/>
                <w:lang w:val="en-GB"/>
              </w:rPr>
              <w:t>, by country</w:t>
            </w:r>
          </w:p>
          <w:p w14:paraId="18C0BD81" w14:textId="77777777" w:rsidR="008E08C4" w:rsidRPr="0029408A" w:rsidRDefault="00D72B15" w:rsidP="008E08C4">
            <w:pPr>
              <w:tabs>
                <w:tab w:val="left" w:pos="13166"/>
              </w:tabs>
              <w:spacing w:before="120"/>
              <w:ind w:right="234"/>
              <w:jc w:val="both"/>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List of countries in which the bank has </w:t>
            </w:r>
            <w:r w:rsidR="00FC453B" w:rsidRPr="0029408A">
              <w:rPr>
                <w:rFonts w:ascii="Times New Roman" w:hAnsi="Times New Roman"/>
                <w:color w:val="000000"/>
                <w:sz w:val="24"/>
                <w:szCs w:val="24"/>
                <w:lang w:val="en-GB"/>
              </w:rPr>
              <w:t xml:space="preserve">credit exposures relevant </w:t>
            </w:r>
            <w:r w:rsidRPr="0029408A">
              <w:rPr>
                <w:rFonts w:ascii="Times New Roman" w:hAnsi="Times New Roman"/>
                <w:color w:val="000000"/>
                <w:sz w:val="24"/>
                <w:szCs w:val="24"/>
                <w:lang w:val="en-GB"/>
              </w:rPr>
              <w:t>for the calculation of the bank-specific countercyclical buffer in accordance with Regulation no. 110/2018.</w:t>
            </w:r>
          </w:p>
          <w:p w14:paraId="3532C99E" w14:textId="77777777" w:rsidR="008E08C4" w:rsidRPr="0029408A" w:rsidRDefault="00865045" w:rsidP="008E08C4">
            <w:pPr>
              <w:tabs>
                <w:tab w:val="left" w:pos="13166"/>
              </w:tabs>
              <w:spacing w:before="120"/>
              <w:ind w:right="234"/>
              <w:jc w:val="both"/>
              <w:rPr>
                <w:rFonts w:ascii="Times New Roman" w:hAnsi="Times New Roman"/>
                <w:color w:val="000000"/>
                <w:sz w:val="24"/>
                <w:szCs w:val="24"/>
                <w:lang w:val="en-GB"/>
              </w:rPr>
            </w:pPr>
            <w:r w:rsidRPr="0029408A">
              <w:rPr>
                <w:rFonts w:ascii="Times New Roman" w:hAnsi="Times New Roman"/>
                <w:color w:val="000000"/>
                <w:sz w:val="24"/>
                <w:szCs w:val="24"/>
                <w:lang w:val="en-GB"/>
              </w:rPr>
              <w:t>The number of rows may vary depending on the number of countries in which the bank has credit exposures relevant for the calculation of the countercyclical buffer. In accordance with Regulation No. 110/2018, if the exposures included in a bank's trading book or external credit exposures represent less than 2% of the aggregate value of its risk-weighted exposures, the bank may choose to allocate these exposures to the bank's location. If the exposures presented for the location of the bank also include exposures from other countries, they should be clearly identified in a note or in a footnote to the disclosure table.</w:t>
            </w:r>
          </w:p>
        </w:tc>
      </w:tr>
      <w:tr w:rsidR="000F2B3E" w:rsidRPr="0029408A" w14:paraId="075B1E21" w14:textId="77777777" w:rsidTr="00C97322">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9609C3" w14:textId="77777777" w:rsidR="008E08C4" w:rsidRPr="0029408A" w:rsidRDefault="008E08C4" w:rsidP="008E08C4">
            <w:pPr>
              <w:spacing w:before="60" w:after="60"/>
              <w:rPr>
                <w:rFonts w:ascii="Times New Roman" w:hAnsi="Times New Roman"/>
                <w:color w:val="000000"/>
                <w:sz w:val="24"/>
                <w:szCs w:val="24"/>
                <w:lang w:val="en-GB"/>
              </w:rPr>
            </w:pPr>
            <w:r w:rsidRPr="0029408A">
              <w:rPr>
                <w:rFonts w:ascii="Times New Roman" w:hAnsi="Times New Roman"/>
                <w:color w:val="000000"/>
                <w:sz w:val="24"/>
                <w:szCs w:val="24"/>
                <w:lang w:val="en-GB"/>
              </w:rPr>
              <w:t>020</w:t>
            </w:r>
          </w:p>
        </w:tc>
        <w:tc>
          <w:tcPr>
            <w:tcW w:w="4490" w:type="pct"/>
            <w:tcBorders>
              <w:top w:val="single" w:sz="6" w:space="0" w:color="000000"/>
              <w:left w:val="single" w:sz="6" w:space="0" w:color="000000"/>
              <w:bottom w:val="single" w:sz="6" w:space="0" w:color="000000"/>
              <w:right w:val="single" w:sz="6" w:space="0" w:color="000000"/>
            </w:tcBorders>
            <w:shd w:val="clear" w:color="auto" w:fill="FFFFFF"/>
            <w:hideMark/>
          </w:tcPr>
          <w:p w14:paraId="66012C12" w14:textId="77777777" w:rsidR="008E08C4" w:rsidRPr="0029408A" w:rsidRDefault="008E08C4" w:rsidP="008E08C4">
            <w:pPr>
              <w:spacing w:before="240" w:after="120"/>
              <w:jc w:val="both"/>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Total</w:t>
            </w:r>
          </w:p>
          <w:p w14:paraId="56048B26" w14:textId="77777777" w:rsidR="008E08C4" w:rsidRPr="0029408A" w:rsidRDefault="00E76808" w:rsidP="008E08C4">
            <w:pPr>
              <w:spacing w:before="120"/>
              <w:jc w:val="both"/>
              <w:rPr>
                <w:rFonts w:ascii="Times New Roman" w:hAnsi="Times New Roman"/>
                <w:color w:val="000000"/>
                <w:sz w:val="24"/>
                <w:szCs w:val="24"/>
                <w:lang w:val="en-GB"/>
              </w:rPr>
            </w:pPr>
            <w:r w:rsidRPr="0029408A">
              <w:rPr>
                <w:rFonts w:ascii="Times New Roman" w:hAnsi="Times New Roman"/>
                <w:color w:val="000000"/>
                <w:sz w:val="24"/>
                <w:szCs w:val="24"/>
                <w:lang w:val="en-GB"/>
              </w:rPr>
              <w:t>The value obtained according to the explanation for columns 010-120 of this table.</w:t>
            </w:r>
          </w:p>
        </w:tc>
      </w:tr>
    </w:tbl>
    <w:p w14:paraId="4D9F8BFD" w14:textId="77777777" w:rsidR="008E08C4" w:rsidRPr="0029408A" w:rsidRDefault="008E08C4" w:rsidP="008E08C4">
      <w:pPr>
        <w:shd w:val="clear" w:color="auto" w:fill="FFFFFF"/>
        <w:spacing w:before="100" w:beforeAutospacing="1" w:after="100" w:afterAutospacing="1"/>
        <w:rPr>
          <w:rFonts w:ascii="Times New Roman" w:hAnsi="Times New Roman"/>
          <w:color w:val="000000"/>
          <w:sz w:val="24"/>
          <w:szCs w:val="24"/>
          <w:lang w:val="en-GB"/>
        </w:rPr>
      </w:pPr>
    </w:p>
    <w:tbl>
      <w:tblPr>
        <w:tblW w:w="5047" w:type="pct"/>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053"/>
        <w:gridCol w:w="8711"/>
      </w:tblGrid>
      <w:tr w:rsidR="000F2B3E" w:rsidRPr="0029408A" w14:paraId="1D6B1E59" w14:textId="77777777" w:rsidTr="008E08C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CCA44FE" w14:textId="77777777" w:rsidR="008E08C4" w:rsidRPr="0029408A" w:rsidRDefault="008E08C4" w:rsidP="008E08C4">
            <w:pPr>
              <w:spacing w:before="60" w:after="60"/>
              <w:ind w:right="195"/>
              <w:jc w:val="center"/>
              <w:rPr>
                <w:rFonts w:ascii="Times New Roman" w:hAnsi="Times New Roman"/>
                <w:b/>
                <w:bCs/>
                <w:color w:val="000000"/>
                <w:sz w:val="24"/>
                <w:szCs w:val="24"/>
                <w:lang w:val="en-GB"/>
              </w:rPr>
            </w:pPr>
          </w:p>
        </w:tc>
        <w:tc>
          <w:tcPr>
            <w:tcW w:w="4515" w:type="pct"/>
            <w:tcBorders>
              <w:top w:val="single" w:sz="6" w:space="0" w:color="000000"/>
              <w:left w:val="single" w:sz="6" w:space="0" w:color="000000"/>
              <w:bottom w:val="single" w:sz="6" w:space="0" w:color="000000"/>
              <w:right w:val="single" w:sz="6" w:space="0" w:color="000000"/>
            </w:tcBorders>
            <w:shd w:val="clear" w:color="auto" w:fill="FFFFFF"/>
          </w:tcPr>
          <w:p w14:paraId="76C5CD8A" w14:textId="77777777" w:rsidR="008E08C4" w:rsidRPr="0029408A" w:rsidRDefault="00691584" w:rsidP="008E08C4">
            <w:pPr>
              <w:spacing w:before="60" w:after="60"/>
              <w:ind w:right="195"/>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Legal references and instructions</w:t>
            </w:r>
          </w:p>
        </w:tc>
      </w:tr>
      <w:tr w:rsidR="000F2B3E" w:rsidRPr="0029408A" w14:paraId="766301D6" w14:textId="77777777" w:rsidTr="008E08C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177EF82" w14:textId="77777777" w:rsidR="008E08C4" w:rsidRPr="0029408A" w:rsidRDefault="00691584" w:rsidP="008E08C4">
            <w:pPr>
              <w:spacing w:before="60" w:after="60"/>
              <w:ind w:right="195"/>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Column</w:t>
            </w:r>
            <w:r w:rsidR="008E08C4" w:rsidRPr="0029408A">
              <w:rPr>
                <w:rFonts w:ascii="Times New Roman" w:hAnsi="Times New Roman"/>
                <w:b/>
                <w:bCs/>
                <w:color w:val="000000"/>
                <w:sz w:val="24"/>
                <w:szCs w:val="24"/>
                <w:lang w:val="en-GB"/>
              </w:rPr>
              <w:t xml:space="preserve"> n</w:t>
            </w:r>
            <w:r w:rsidRPr="0029408A">
              <w:rPr>
                <w:rFonts w:ascii="Times New Roman" w:hAnsi="Times New Roman"/>
                <w:b/>
                <w:bCs/>
                <w:color w:val="000000"/>
                <w:sz w:val="24"/>
                <w:szCs w:val="24"/>
                <w:lang w:val="en-GB"/>
              </w:rPr>
              <w:t>o</w:t>
            </w:r>
            <w:r w:rsidR="008E08C4" w:rsidRPr="0029408A">
              <w:rPr>
                <w:rFonts w:ascii="Times New Roman" w:hAnsi="Times New Roman"/>
                <w:b/>
                <w:bCs/>
                <w:color w:val="000000"/>
                <w:sz w:val="24"/>
                <w:szCs w:val="24"/>
                <w:lang w:val="en-GB"/>
              </w:rPr>
              <w:t>.</w:t>
            </w:r>
          </w:p>
        </w:tc>
        <w:tc>
          <w:tcPr>
            <w:tcW w:w="4515" w:type="pct"/>
            <w:tcBorders>
              <w:top w:val="single" w:sz="6" w:space="0" w:color="000000"/>
              <w:left w:val="single" w:sz="6" w:space="0" w:color="000000"/>
              <w:bottom w:val="single" w:sz="6" w:space="0" w:color="000000"/>
              <w:right w:val="single" w:sz="6" w:space="0" w:color="000000"/>
            </w:tcBorders>
            <w:shd w:val="clear" w:color="auto" w:fill="FFFFFF"/>
          </w:tcPr>
          <w:p w14:paraId="612C2A63" w14:textId="77777777" w:rsidR="008E08C4" w:rsidRPr="0029408A" w:rsidRDefault="00691584" w:rsidP="008E08C4">
            <w:pPr>
              <w:spacing w:before="60" w:after="60"/>
              <w:ind w:right="195"/>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Explanation</w:t>
            </w:r>
          </w:p>
        </w:tc>
      </w:tr>
      <w:tr w:rsidR="000F2B3E" w:rsidRPr="0029408A" w14:paraId="27DF7A33" w14:textId="77777777" w:rsidTr="008E08C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4A61D5" w14:textId="77777777" w:rsidR="008E08C4" w:rsidRPr="0029408A" w:rsidRDefault="008E08C4" w:rsidP="008E08C4">
            <w:pPr>
              <w:spacing w:before="60" w:after="60"/>
              <w:rPr>
                <w:rFonts w:ascii="Times New Roman" w:hAnsi="Times New Roman"/>
                <w:color w:val="000000"/>
                <w:sz w:val="24"/>
                <w:szCs w:val="24"/>
                <w:lang w:val="en-GB"/>
              </w:rPr>
            </w:pPr>
            <w:r w:rsidRPr="0029408A">
              <w:rPr>
                <w:rFonts w:ascii="Times New Roman" w:hAnsi="Times New Roman"/>
                <w:color w:val="000000"/>
                <w:sz w:val="24"/>
                <w:szCs w:val="24"/>
                <w:lang w:val="en-GB"/>
              </w:rPr>
              <w:t>010</w:t>
            </w:r>
          </w:p>
        </w:tc>
        <w:tc>
          <w:tcPr>
            <w:tcW w:w="4515" w:type="pct"/>
            <w:tcBorders>
              <w:top w:val="single" w:sz="6" w:space="0" w:color="000000"/>
              <w:left w:val="single" w:sz="6" w:space="0" w:color="000000"/>
              <w:bottom w:val="single" w:sz="6" w:space="0" w:color="000000"/>
              <w:right w:val="single" w:sz="6" w:space="0" w:color="000000"/>
            </w:tcBorders>
            <w:shd w:val="clear" w:color="auto" w:fill="FFFFFF"/>
            <w:hideMark/>
          </w:tcPr>
          <w:p w14:paraId="73980237" w14:textId="77777777" w:rsidR="008E08C4" w:rsidRPr="0029408A" w:rsidRDefault="007364F5" w:rsidP="008E08C4">
            <w:pPr>
              <w:spacing w:after="120"/>
              <w:ind w:left="109" w:right="88"/>
              <w:jc w:val="both"/>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Exposure value related to general credit exposures for the standardized approach (SA)</w:t>
            </w:r>
          </w:p>
          <w:p w14:paraId="2999F004" w14:textId="77777777" w:rsidR="008E08C4" w:rsidRPr="0029408A" w:rsidRDefault="00134020" w:rsidP="008E08C4">
            <w:pPr>
              <w:spacing w:before="120"/>
              <w:ind w:left="109" w:right="88"/>
              <w:jc w:val="both"/>
              <w:rPr>
                <w:rFonts w:ascii="Times New Roman" w:hAnsi="Times New Roman"/>
                <w:color w:val="000000"/>
                <w:sz w:val="24"/>
                <w:szCs w:val="24"/>
                <w:lang w:val="en-GB"/>
              </w:rPr>
            </w:pPr>
            <w:r w:rsidRPr="0029408A">
              <w:rPr>
                <w:rFonts w:ascii="Times New Roman" w:hAnsi="Times New Roman"/>
                <w:color w:val="000000"/>
                <w:sz w:val="24"/>
                <w:szCs w:val="24"/>
                <w:lang w:val="en-GB"/>
              </w:rPr>
              <w:t>The value of the exposure related to the relevant credit exposures, defined in accordance with p. 19 subp.1) of Regulation no.110 / 2018 and determined according to p.5 - 10 of Regulation no.111 / 2018</w:t>
            </w:r>
          </w:p>
          <w:p w14:paraId="1199A2FF" w14:textId="77777777" w:rsidR="008E08C4" w:rsidRPr="0029408A" w:rsidRDefault="008C385F" w:rsidP="008E08C4">
            <w:pPr>
              <w:spacing w:before="120"/>
              <w:ind w:left="109" w:right="88"/>
              <w:jc w:val="both"/>
              <w:rPr>
                <w:rFonts w:ascii="Times New Roman" w:hAnsi="Times New Roman"/>
                <w:color w:val="000000"/>
                <w:sz w:val="24"/>
                <w:szCs w:val="24"/>
                <w:lang w:val="en-GB"/>
              </w:rPr>
            </w:pPr>
            <w:r w:rsidRPr="0029408A">
              <w:rPr>
                <w:rFonts w:ascii="Times New Roman" w:hAnsi="Times New Roman"/>
                <w:color w:val="000000"/>
                <w:sz w:val="24"/>
                <w:szCs w:val="24"/>
                <w:lang w:val="en-GB"/>
              </w:rPr>
              <w:t>The geographical breakdown is made in accordance with the Annex to Regulation no. 110/2018.</w:t>
            </w:r>
          </w:p>
          <w:p w14:paraId="4E0EC66F" w14:textId="77777777" w:rsidR="008E08C4" w:rsidRPr="0029408A" w:rsidRDefault="008C385F" w:rsidP="008E08C4">
            <w:pPr>
              <w:spacing w:before="120"/>
              <w:ind w:left="109" w:right="88"/>
              <w:jc w:val="both"/>
              <w:rPr>
                <w:rFonts w:ascii="Times New Roman" w:hAnsi="Times New Roman"/>
                <w:color w:val="000000"/>
                <w:sz w:val="24"/>
                <w:szCs w:val="24"/>
                <w:lang w:val="en-GB"/>
              </w:rPr>
            </w:pPr>
            <w:r w:rsidRPr="0029408A">
              <w:rPr>
                <w:rFonts w:ascii="Times New Roman" w:hAnsi="Times New Roman"/>
                <w:color w:val="000000"/>
                <w:sz w:val="24"/>
                <w:szCs w:val="24"/>
                <w:lang w:val="en-GB"/>
              </w:rPr>
              <w:t>Row 020 (Total): the sum of all relevant credit exposure as determined, as specified above.</w:t>
            </w:r>
          </w:p>
        </w:tc>
      </w:tr>
      <w:tr w:rsidR="000F2B3E" w:rsidRPr="0029408A" w14:paraId="62E429D0" w14:textId="77777777" w:rsidTr="008E08C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5FC341" w14:textId="77777777" w:rsidR="008E08C4" w:rsidRPr="0029408A" w:rsidRDefault="008E08C4" w:rsidP="008E08C4">
            <w:pPr>
              <w:spacing w:before="60" w:after="60"/>
              <w:rPr>
                <w:rFonts w:ascii="Times New Roman" w:hAnsi="Times New Roman"/>
                <w:color w:val="000000"/>
                <w:sz w:val="24"/>
                <w:szCs w:val="24"/>
                <w:lang w:val="en-GB"/>
              </w:rPr>
            </w:pPr>
            <w:r w:rsidRPr="0029408A">
              <w:rPr>
                <w:rFonts w:ascii="Times New Roman" w:hAnsi="Times New Roman"/>
                <w:color w:val="000000"/>
                <w:sz w:val="24"/>
                <w:szCs w:val="24"/>
                <w:lang w:val="en-GB"/>
              </w:rPr>
              <w:t>020</w:t>
            </w:r>
          </w:p>
        </w:tc>
        <w:tc>
          <w:tcPr>
            <w:tcW w:w="4515" w:type="pct"/>
            <w:tcBorders>
              <w:top w:val="single" w:sz="6" w:space="0" w:color="000000"/>
              <w:left w:val="single" w:sz="6" w:space="0" w:color="000000"/>
              <w:bottom w:val="single" w:sz="6" w:space="0" w:color="000000"/>
              <w:right w:val="single" w:sz="6" w:space="0" w:color="000000"/>
            </w:tcBorders>
            <w:shd w:val="clear" w:color="auto" w:fill="FFFFFF"/>
            <w:hideMark/>
          </w:tcPr>
          <w:p w14:paraId="4BD26E74" w14:textId="77777777" w:rsidR="008E08C4" w:rsidRPr="0029408A" w:rsidRDefault="00DE3D21" w:rsidP="008E08C4">
            <w:pPr>
              <w:spacing w:before="120"/>
              <w:ind w:left="109"/>
              <w:jc w:val="both"/>
              <w:rPr>
                <w:rFonts w:ascii="Times New Roman" w:hAnsi="Times New Roman"/>
                <w:color w:val="000000"/>
                <w:sz w:val="24"/>
                <w:szCs w:val="24"/>
                <w:lang w:val="en-GB"/>
              </w:rPr>
            </w:pPr>
            <w:r w:rsidRPr="0029408A">
              <w:rPr>
                <w:rFonts w:ascii="Times New Roman" w:hAnsi="Times New Roman"/>
                <w:b/>
                <w:bCs/>
                <w:color w:val="000000"/>
                <w:sz w:val="24"/>
                <w:szCs w:val="24"/>
                <w:lang w:val="en-GB"/>
              </w:rPr>
              <w:t xml:space="preserve">Exposure value related to general credit exposures for the IRB </w:t>
            </w:r>
            <w:proofErr w:type="spellStart"/>
            <w:r w:rsidRPr="0029408A">
              <w:rPr>
                <w:rFonts w:ascii="Times New Roman" w:hAnsi="Times New Roman"/>
                <w:b/>
                <w:bCs/>
                <w:color w:val="000000"/>
                <w:sz w:val="24"/>
                <w:szCs w:val="24"/>
                <w:lang w:val="en-GB"/>
              </w:rPr>
              <w:t>approach</w:t>
            </w:r>
            <w:r w:rsidR="008E08C4" w:rsidRPr="0029408A">
              <w:rPr>
                <w:rFonts w:ascii="Times New Roman" w:hAnsi="Times New Roman"/>
                <w:color w:val="000000"/>
                <w:sz w:val="24"/>
                <w:szCs w:val="24"/>
                <w:lang w:val="en-GB"/>
              </w:rPr>
              <w:t>X</w:t>
            </w:r>
            <w:proofErr w:type="spellEnd"/>
          </w:p>
        </w:tc>
      </w:tr>
      <w:tr w:rsidR="000F2B3E" w:rsidRPr="0029408A" w14:paraId="504908EC" w14:textId="77777777" w:rsidTr="008E08C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24E9F3" w14:textId="77777777" w:rsidR="008E08C4" w:rsidRPr="0029408A" w:rsidRDefault="008E08C4" w:rsidP="008E08C4">
            <w:pPr>
              <w:spacing w:before="60" w:after="60"/>
              <w:rPr>
                <w:rFonts w:ascii="Times New Roman" w:hAnsi="Times New Roman"/>
                <w:color w:val="000000"/>
                <w:sz w:val="24"/>
                <w:szCs w:val="24"/>
                <w:lang w:val="en-GB"/>
              </w:rPr>
            </w:pPr>
            <w:r w:rsidRPr="0029408A">
              <w:rPr>
                <w:rFonts w:ascii="Times New Roman" w:hAnsi="Times New Roman"/>
                <w:color w:val="000000"/>
                <w:sz w:val="24"/>
                <w:szCs w:val="24"/>
                <w:lang w:val="en-GB"/>
              </w:rPr>
              <w:t>030</w:t>
            </w:r>
          </w:p>
        </w:tc>
        <w:tc>
          <w:tcPr>
            <w:tcW w:w="4515" w:type="pct"/>
            <w:tcBorders>
              <w:top w:val="single" w:sz="6" w:space="0" w:color="000000"/>
              <w:left w:val="single" w:sz="6" w:space="0" w:color="000000"/>
              <w:bottom w:val="single" w:sz="6" w:space="0" w:color="000000"/>
              <w:right w:val="single" w:sz="6" w:space="0" w:color="000000"/>
            </w:tcBorders>
            <w:shd w:val="clear" w:color="auto" w:fill="FFFFFF"/>
            <w:hideMark/>
          </w:tcPr>
          <w:p w14:paraId="313003DE" w14:textId="77777777" w:rsidR="008E08C4" w:rsidRPr="0029408A" w:rsidRDefault="00DE3D21" w:rsidP="008E08C4">
            <w:pPr>
              <w:spacing w:after="120"/>
              <w:ind w:left="109" w:right="230"/>
              <w:jc w:val="both"/>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The sum of the long and short positions of the exposures included in the trading book</w:t>
            </w:r>
          </w:p>
          <w:p w14:paraId="1A112767" w14:textId="77777777" w:rsidR="008E08C4" w:rsidRPr="0029408A" w:rsidRDefault="00DE3D21" w:rsidP="008E08C4">
            <w:pPr>
              <w:spacing w:before="120"/>
              <w:ind w:left="109" w:right="230"/>
              <w:jc w:val="both"/>
              <w:rPr>
                <w:rFonts w:ascii="Times New Roman" w:hAnsi="Times New Roman"/>
                <w:color w:val="000000"/>
                <w:sz w:val="24"/>
                <w:szCs w:val="24"/>
                <w:lang w:val="en-GB"/>
              </w:rPr>
            </w:pPr>
            <w:r w:rsidRPr="0029408A">
              <w:rPr>
                <w:rFonts w:ascii="Times New Roman" w:hAnsi="Times New Roman"/>
                <w:color w:val="000000"/>
                <w:sz w:val="24"/>
                <w:szCs w:val="24"/>
                <w:lang w:val="en-GB"/>
              </w:rPr>
              <w:t>The sum of the long and short positions of the relevant credit exposures, defined in accordance with p. 19 subp.2) of Regulation no. 110/2018, calculated as the sum of the long and short positions, determined in accordance with p.36-38 of Regulation on the treatment of market risk according to the standardized approach, approved by the Decision of the Executive Board of the National Bank of Moldova no. 114 of 24.05.2018.</w:t>
            </w:r>
          </w:p>
          <w:p w14:paraId="1F216666" w14:textId="77777777" w:rsidR="008E08C4" w:rsidRPr="0029408A" w:rsidRDefault="00FC14A3" w:rsidP="008E08C4">
            <w:pPr>
              <w:spacing w:before="120"/>
              <w:ind w:left="109" w:right="230"/>
              <w:jc w:val="both"/>
              <w:rPr>
                <w:rFonts w:ascii="Times New Roman" w:hAnsi="Times New Roman"/>
                <w:color w:val="000000"/>
                <w:sz w:val="24"/>
                <w:szCs w:val="24"/>
                <w:lang w:val="en-GB"/>
              </w:rPr>
            </w:pPr>
            <w:r w:rsidRPr="0029408A">
              <w:rPr>
                <w:rFonts w:ascii="Times New Roman" w:hAnsi="Times New Roman"/>
                <w:color w:val="000000"/>
                <w:sz w:val="24"/>
                <w:szCs w:val="24"/>
                <w:lang w:val="en-GB"/>
              </w:rPr>
              <w:t>The geographical breakdown is made in accordance with the Annex to Regulation no. 110/2018.</w:t>
            </w:r>
          </w:p>
          <w:p w14:paraId="5F621192" w14:textId="77777777" w:rsidR="008E08C4" w:rsidRPr="0029408A" w:rsidRDefault="00FC14A3" w:rsidP="008E08C4">
            <w:pPr>
              <w:spacing w:before="120"/>
              <w:ind w:left="109" w:right="230"/>
              <w:jc w:val="both"/>
              <w:rPr>
                <w:rFonts w:ascii="Times New Roman" w:hAnsi="Times New Roman"/>
                <w:color w:val="000000"/>
                <w:sz w:val="24"/>
                <w:szCs w:val="24"/>
                <w:lang w:val="en-GB"/>
              </w:rPr>
            </w:pPr>
            <w:r w:rsidRPr="0029408A">
              <w:rPr>
                <w:rFonts w:ascii="Times New Roman" w:hAnsi="Times New Roman"/>
                <w:color w:val="000000"/>
                <w:sz w:val="24"/>
                <w:szCs w:val="24"/>
                <w:lang w:val="en-GB"/>
              </w:rPr>
              <w:t>Row 020 (Total): the sum of all long and short positions in the relevant credit exposures as determined, as specified above.</w:t>
            </w:r>
          </w:p>
        </w:tc>
      </w:tr>
      <w:tr w:rsidR="000F2B3E" w:rsidRPr="0029408A" w14:paraId="70D8261D" w14:textId="77777777" w:rsidTr="008E08C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E81B61" w14:textId="77777777" w:rsidR="008E08C4" w:rsidRPr="0029408A" w:rsidRDefault="008E08C4" w:rsidP="008E08C4">
            <w:pPr>
              <w:spacing w:before="60" w:after="60"/>
              <w:rPr>
                <w:rFonts w:ascii="Times New Roman" w:hAnsi="Times New Roman"/>
                <w:color w:val="000000"/>
                <w:sz w:val="24"/>
                <w:szCs w:val="24"/>
                <w:lang w:val="en-GB"/>
              </w:rPr>
            </w:pPr>
            <w:r w:rsidRPr="0029408A">
              <w:rPr>
                <w:rFonts w:ascii="Times New Roman" w:hAnsi="Times New Roman"/>
                <w:color w:val="000000"/>
                <w:sz w:val="24"/>
                <w:szCs w:val="24"/>
                <w:lang w:val="en-GB"/>
              </w:rPr>
              <w:t>040</w:t>
            </w:r>
          </w:p>
        </w:tc>
        <w:tc>
          <w:tcPr>
            <w:tcW w:w="4515" w:type="pct"/>
            <w:tcBorders>
              <w:top w:val="single" w:sz="6" w:space="0" w:color="000000"/>
              <w:left w:val="single" w:sz="6" w:space="0" w:color="000000"/>
              <w:bottom w:val="single" w:sz="6" w:space="0" w:color="000000"/>
              <w:right w:val="single" w:sz="6" w:space="0" w:color="000000"/>
            </w:tcBorders>
            <w:shd w:val="clear" w:color="auto" w:fill="FFFFFF"/>
            <w:hideMark/>
          </w:tcPr>
          <w:p w14:paraId="0F6F2352" w14:textId="77777777" w:rsidR="002D1B5A" w:rsidRPr="0029408A" w:rsidRDefault="002D1B5A" w:rsidP="008E08C4">
            <w:pPr>
              <w:spacing w:before="120"/>
              <w:ind w:left="109" w:right="230"/>
              <w:jc w:val="both"/>
              <w:rPr>
                <w:rFonts w:ascii="Times New Roman" w:hAnsi="Times New Roman"/>
                <w:b/>
                <w:color w:val="000000"/>
                <w:sz w:val="24"/>
                <w:szCs w:val="24"/>
                <w:lang w:val="en-GB"/>
              </w:rPr>
            </w:pPr>
            <w:r w:rsidRPr="0029408A">
              <w:rPr>
                <w:rFonts w:ascii="Times New Roman" w:hAnsi="Times New Roman"/>
                <w:b/>
                <w:color w:val="000000"/>
                <w:sz w:val="24"/>
                <w:szCs w:val="24"/>
                <w:lang w:val="en-GB"/>
              </w:rPr>
              <w:t>Value of exposures included in the trading book for internal models</w:t>
            </w:r>
          </w:p>
          <w:p w14:paraId="35AAB46A" w14:textId="77777777" w:rsidR="008E08C4" w:rsidRPr="0029408A" w:rsidRDefault="008E08C4" w:rsidP="008E08C4">
            <w:pPr>
              <w:spacing w:before="120"/>
              <w:ind w:left="109" w:right="230"/>
              <w:jc w:val="both"/>
              <w:rPr>
                <w:rFonts w:ascii="Times New Roman" w:hAnsi="Times New Roman"/>
                <w:color w:val="000000"/>
                <w:sz w:val="24"/>
                <w:szCs w:val="24"/>
                <w:lang w:val="en-GB"/>
              </w:rPr>
            </w:pPr>
            <w:r w:rsidRPr="0029408A">
              <w:rPr>
                <w:rFonts w:ascii="Times New Roman" w:hAnsi="Times New Roman"/>
                <w:color w:val="000000"/>
                <w:sz w:val="24"/>
                <w:szCs w:val="24"/>
                <w:lang w:val="en-GB"/>
              </w:rPr>
              <w:t>X</w:t>
            </w:r>
          </w:p>
        </w:tc>
      </w:tr>
      <w:tr w:rsidR="000F2B3E" w:rsidRPr="0029408A" w14:paraId="6CBFB365" w14:textId="77777777" w:rsidTr="008E08C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3B1E0C" w14:textId="77777777" w:rsidR="008E08C4" w:rsidRPr="0029408A" w:rsidRDefault="008E08C4" w:rsidP="008E08C4">
            <w:pPr>
              <w:spacing w:before="60" w:after="60"/>
              <w:rPr>
                <w:rFonts w:ascii="Times New Roman" w:hAnsi="Times New Roman"/>
                <w:color w:val="000000"/>
                <w:sz w:val="24"/>
                <w:szCs w:val="24"/>
                <w:lang w:val="en-GB"/>
              </w:rPr>
            </w:pPr>
            <w:r w:rsidRPr="0029408A">
              <w:rPr>
                <w:rFonts w:ascii="Times New Roman" w:hAnsi="Times New Roman"/>
                <w:color w:val="000000"/>
                <w:sz w:val="24"/>
                <w:szCs w:val="24"/>
                <w:lang w:val="en-GB"/>
              </w:rPr>
              <w:t>070</w:t>
            </w:r>
          </w:p>
        </w:tc>
        <w:tc>
          <w:tcPr>
            <w:tcW w:w="4515" w:type="pct"/>
            <w:tcBorders>
              <w:top w:val="single" w:sz="6" w:space="0" w:color="000000"/>
              <w:left w:val="single" w:sz="6" w:space="0" w:color="000000"/>
              <w:bottom w:val="single" w:sz="6" w:space="0" w:color="000000"/>
              <w:right w:val="single" w:sz="6" w:space="0" w:color="000000"/>
            </w:tcBorders>
            <w:shd w:val="clear" w:color="auto" w:fill="FFFFFF"/>
            <w:hideMark/>
          </w:tcPr>
          <w:p w14:paraId="09FC816A" w14:textId="77777777" w:rsidR="008E08C4" w:rsidRPr="0029408A" w:rsidRDefault="00291387" w:rsidP="008E08C4">
            <w:pPr>
              <w:spacing w:before="120"/>
              <w:ind w:left="109" w:right="230"/>
              <w:jc w:val="both"/>
              <w:rPr>
                <w:rFonts w:ascii="Times New Roman" w:hAnsi="Times New Roman"/>
                <w:b/>
                <w:bCs/>
                <w:color w:val="000000"/>
                <w:sz w:val="24"/>
                <w:szCs w:val="24"/>
                <w:lang w:val="en-GB"/>
              </w:rPr>
            </w:pPr>
            <w:r w:rsidRPr="0029408A">
              <w:rPr>
                <w:rFonts w:ascii="Times New Roman" w:hAnsi="Times New Roman"/>
                <w:b/>
                <w:color w:val="000000"/>
                <w:sz w:val="24"/>
                <w:szCs w:val="24"/>
                <w:lang w:val="en-GB"/>
              </w:rPr>
              <w:t>Own funds requirements: general credit exposures</w:t>
            </w:r>
          </w:p>
          <w:p w14:paraId="36FD64D3" w14:textId="77777777" w:rsidR="008E08C4" w:rsidRPr="0029408A" w:rsidRDefault="00291387" w:rsidP="008E08C4">
            <w:pPr>
              <w:spacing w:before="120"/>
              <w:ind w:left="109" w:right="230"/>
              <w:jc w:val="both"/>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Own funds requirements for relevant credit exposures in the country concerned, defined in accordance with p. 19 subp.1) of Regulation no.110 / 2018, determined in accordance with Regulation no.111 / 2018, Regulation no.112 / </w:t>
            </w:r>
            <w:proofErr w:type="gramStart"/>
            <w:r w:rsidRPr="0029408A">
              <w:rPr>
                <w:rFonts w:ascii="Times New Roman" w:hAnsi="Times New Roman"/>
                <w:color w:val="000000"/>
                <w:sz w:val="24"/>
                <w:szCs w:val="24"/>
                <w:lang w:val="en-GB"/>
              </w:rPr>
              <w:t>2018 ,</w:t>
            </w:r>
            <w:proofErr w:type="gramEnd"/>
            <w:r w:rsidRPr="0029408A">
              <w:rPr>
                <w:rFonts w:ascii="Times New Roman" w:hAnsi="Times New Roman"/>
                <w:color w:val="000000"/>
                <w:sz w:val="24"/>
                <w:szCs w:val="24"/>
                <w:lang w:val="en-GB"/>
              </w:rPr>
              <w:t xml:space="preserve"> Regulation no. 102/2020.</w:t>
            </w:r>
          </w:p>
          <w:p w14:paraId="3211B7AA" w14:textId="77777777" w:rsidR="008E08C4" w:rsidRPr="0029408A" w:rsidRDefault="00291387" w:rsidP="008E08C4">
            <w:pPr>
              <w:spacing w:before="120"/>
              <w:ind w:left="109" w:right="230"/>
              <w:jc w:val="both"/>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Row 020 (Total): the sum of all own </w:t>
            </w:r>
            <w:proofErr w:type="gramStart"/>
            <w:r w:rsidRPr="0029408A">
              <w:rPr>
                <w:rFonts w:ascii="Times New Roman" w:hAnsi="Times New Roman"/>
                <w:color w:val="000000"/>
                <w:sz w:val="24"/>
                <w:szCs w:val="24"/>
                <w:lang w:val="en-GB"/>
              </w:rPr>
              <w:t>funds</w:t>
            </w:r>
            <w:proofErr w:type="gramEnd"/>
            <w:r w:rsidRPr="0029408A">
              <w:rPr>
                <w:rFonts w:ascii="Times New Roman" w:hAnsi="Times New Roman"/>
                <w:color w:val="000000"/>
                <w:sz w:val="24"/>
                <w:szCs w:val="24"/>
                <w:lang w:val="en-GB"/>
              </w:rPr>
              <w:t xml:space="preserve"> requirements for the relevant credit exposures as determined, as specified above.</w:t>
            </w:r>
          </w:p>
        </w:tc>
      </w:tr>
      <w:tr w:rsidR="000F2B3E" w:rsidRPr="0029408A" w14:paraId="05F005D1" w14:textId="77777777" w:rsidTr="008E08C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522434" w14:textId="77777777" w:rsidR="008E08C4" w:rsidRPr="0029408A" w:rsidRDefault="008E08C4" w:rsidP="008E08C4">
            <w:pPr>
              <w:spacing w:before="60" w:after="60"/>
              <w:rPr>
                <w:rFonts w:ascii="Times New Roman" w:hAnsi="Times New Roman"/>
                <w:color w:val="000000"/>
                <w:sz w:val="24"/>
                <w:szCs w:val="24"/>
                <w:lang w:val="en-GB"/>
              </w:rPr>
            </w:pPr>
            <w:r w:rsidRPr="0029408A">
              <w:rPr>
                <w:rFonts w:ascii="Times New Roman" w:hAnsi="Times New Roman"/>
                <w:color w:val="000000"/>
                <w:sz w:val="24"/>
                <w:szCs w:val="24"/>
                <w:lang w:val="en-GB"/>
              </w:rPr>
              <w:t>080</w:t>
            </w:r>
          </w:p>
        </w:tc>
        <w:tc>
          <w:tcPr>
            <w:tcW w:w="4515" w:type="pct"/>
            <w:tcBorders>
              <w:top w:val="single" w:sz="6" w:space="0" w:color="000000"/>
              <w:left w:val="single" w:sz="6" w:space="0" w:color="000000"/>
              <w:bottom w:val="single" w:sz="6" w:space="0" w:color="000000"/>
              <w:right w:val="single" w:sz="6" w:space="0" w:color="000000"/>
            </w:tcBorders>
            <w:shd w:val="clear" w:color="auto" w:fill="FFFFFF"/>
            <w:hideMark/>
          </w:tcPr>
          <w:p w14:paraId="174391C5" w14:textId="77777777" w:rsidR="004B2322" w:rsidRPr="0029408A" w:rsidRDefault="004B2322" w:rsidP="008E08C4">
            <w:pPr>
              <w:spacing w:before="120"/>
              <w:ind w:left="109" w:right="230"/>
              <w:jc w:val="both"/>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Own funds requirements: exposures included in the trading book</w:t>
            </w:r>
          </w:p>
          <w:p w14:paraId="163BF2DC" w14:textId="77777777" w:rsidR="008E08C4" w:rsidRPr="0029408A" w:rsidRDefault="00F352A3" w:rsidP="008E08C4">
            <w:pPr>
              <w:spacing w:before="120"/>
              <w:ind w:left="109" w:right="230"/>
              <w:jc w:val="both"/>
              <w:rPr>
                <w:rFonts w:ascii="Times New Roman" w:hAnsi="Times New Roman"/>
                <w:color w:val="000000"/>
                <w:sz w:val="24"/>
                <w:szCs w:val="24"/>
                <w:lang w:val="en-GB"/>
              </w:rPr>
            </w:pPr>
            <w:r w:rsidRPr="0029408A">
              <w:rPr>
                <w:rFonts w:ascii="Times New Roman" w:hAnsi="Times New Roman"/>
                <w:color w:val="000000"/>
                <w:sz w:val="24"/>
                <w:szCs w:val="24"/>
                <w:lang w:val="en-GB"/>
              </w:rPr>
              <w:lastRenderedPageBreak/>
              <w:t>Own funds requirements for relevant credit exposures in the country concerned, defined in accordance with p. 19 subp.2) of Regulation no. 110/2018, determined for the specific risk in accordance with Regulation no. 114/2018.</w:t>
            </w:r>
          </w:p>
          <w:p w14:paraId="14E08F8E" w14:textId="77777777" w:rsidR="008E08C4" w:rsidRPr="0029408A" w:rsidRDefault="00F352A3" w:rsidP="008E08C4">
            <w:pPr>
              <w:spacing w:before="120"/>
              <w:ind w:left="109" w:right="230"/>
              <w:jc w:val="both"/>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Row 020 (Total): the sum of all own </w:t>
            </w:r>
            <w:proofErr w:type="gramStart"/>
            <w:r w:rsidRPr="0029408A">
              <w:rPr>
                <w:rFonts w:ascii="Times New Roman" w:hAnsi="Times New Roman"/>
                <w:color w:val="000000"/>
                <w:sz w:val="24"/>
                <w:szCs w:val="24"/>
                <w:lang w:val="en-GB"/>
              </w:rPr>
              <w:t>funds</w:t>
            </w:r>
            <w:proofErr w:type="gramEnd"/>
            <w:r w:rsidRPr="0029408A">
              <w:rPr>
                <w:rFonts w:ascii="Times New Roman" w:hAnsi="Times New Roman"/>
                <w:color w:val="000000"/>
                <w:sz w:val="24"/>
                <w:szCs w:val="24"/>
                <w:lang w:val="en-GB"/>
              </w:rPr>
              <w:t xml:space="preserve"> requirements for the relevant credit exposures as determined, as specified above.</w:t>
            </w:r>
          </w:p>
        </w:tc>
      </w:tr>
      <w:tr w:rsidR="000F2B3E" w:rsidRPr="0029408A" w14:paraId="14CFF329" w14:textId="77777777" w:rsidTr="008E08C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1BE47C" w14:textId="77777777" w:rsidR="008E08C4" w:rsidRPr="0029408A" w:rsidRDefault="008E08C4" w:rsidP="008E08C4">
            <w:pPr>
              <w:spacing w:before="60" w:after="60"/>
              <w:rPr>
                <w:rFonts w:ascii="Times New Roman" w:hAnsi="Times New Roman"/>
                <w:color w:val="000000"/>
                <w:sz w:val="24"/>
                <w:szCs w:val="24"/>
                <w:lang w:val="en-GB"/>
              </w:rPr>
            </w:pPr>
            <w:r w:rsidRPr="0029408A">
              <w:rPr>
                <w:rFonts w:ascii="Times New Roman" w:hAnsi="Times New Roman"/>
                <w:color w:val="000000"/>
                <w:sz w:val="24"/>
                <w:szCs w:val="24"/>
                <w:lang w:val="en-GB"/>
              </w:rPr>
              <w:lastRenderedPageBreak/>
              <w:t>100</w:t>
            </w:r>
          </w:p>
        </w:tc>
        <w:tc>
          <w:tcPr>
            <w:tcW w:w="4515" w:type="pct"/>
            <w:tcBorders>
              <w:top w:val="single" w:sz="6" w:space="0" w:color="000000"/>
              <w:left w:val="single" w:sz="6" w:space="0" w:color="000000"/>
              <w:bottom w:val="single" w:sz="6" w:space="0" w:color="000000"/>
              <w:right w:val="single" w:sz="6" w:space="0" w:color="000000"/>
            </w:tcBorders>
            <w:shd w:val="clear" w:color="auto" w:fill="FFFFFF"/>
            <w:hideMark/>
          </w:tcPr>
          <w:p w14:paraId="1D1966C7" w14:textId="77777777" w:rsidR="008E08C4" w:rsidRPr="0029408A" w:rsidRDefault="00DD6C8A" w:rsidP="008E08C4">
            <w:pPr>
              <w:ind w:left="109" w:right="230"/>
              <w:jc w:val="both"/>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Own funds requirements - Total</w:t>
            </w:r>
          </w:p>
          <w:p w14:paraId="7288B230" w14:textId="77777777" w:rsidR="008E08C4" w:rsidRPr="0029408A" w:rsidRDefault="00DD6C8A" w:rsidP="008E08C4">
            <w:pPr>
              <w:spacing w:before="120"/>
              <w:ind w:left="109" w:right="230"/>
              <w:jc w:val="both"/>
              <w:rPr>
                <w:rFonts w:ascii="Times New Roman" w:hAnsi="Times New Roman"/>
                <w:color w:val="000000"/>
                <w:sz w:val="24"/>
                <w:szCs w:val="24"/>
                <w:lang w:val="en-GB"/>
              </w:rPr>
            </w:pPr>
            <w:r w:rsidRPr="0029408A">
              <w:rPr>
                <w:rFonts w:ascii="Times New Roman" w:hAnsi="Times New Roman"/>
                <w:color w:val="000000"/>
                <w:sz w:val="24"/>
                <w:szCs w:val="24"/>
                <w:lang w:val="en-GB"/>
              </w:rPr>
              <w:t>The sum of columns 070 and 080.</w:t>
            </w:r>
          </w:p>
          <w:p w14:paraId="0128C9BC" w14:textId="77777777" w:rsidR="008E08C4" w:rsidRPr="0029408A" w:rsidRDefault="00DD6C8A" w:rsidP="008E08C4">
            <w:pPr>
              <w:spacing w:before="120"/>
              <w:ind w:left="109" w:right="230"/>
              <w:jc w:val="both"/>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Row 020 (Total): the sum of all own </w:t>
            </w:r>
            <w:proofErr w:type="gramStart"/>
            <w:r w:rsidRPr="0029408A">
              <w:rPr>
                <w:rFonts w:ascii="Times New Roman" w:hAnsi="Times New Roman"/>
                <w:color w:val="000000"/>
                <w:sz w:val="24"/>
                <w:szCs w:val="24"/>
                <w:lang w:val="en-GB"/>
              </w:rPr>
              <w:t>funds</w:t>
            </w:r>
            <w:proofErr w:type="gramEnd"/>
            <w:r w:rsidRPr="0029408A">
              <w:rPr>
                <w:rFonts w:ascii="Times New Roman" w:hAnsi="Times New Roman"/>
                <w:color w:val="000000"/>
                <w:sz w:val="24"/>
                <w:szCs w:val="24"/>
                <w:lang w:val="en-GB"/>
              </w:rPr>
              <w:t xml:space="preserve"> requirements for the relevant credit exposures, defined in accordance with p.19 of Regulation no.110 / 2018.</w:t>
            </w:r>
          </w:p>
        </w:tc>
      </w:tr>
      <w:tr w:rsidR="000F2B3E" w:rsidRPr="0029408A" w14:paraId="195DDD7C" w14:textId="77777777" w:rsidTr="008E08C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B038C7" w14:textId="77777777" w:rsidR="008E08C4" w:rsidRPr="0029408A" w:rsidRDefault="008E08C4" w:rsidP="008E08C4">
            <w:pPr>
              <w:spacing w:before="60" w:after="60"/>
              <w:rPr>
                <w:rFonts w:ascii="Times New Roman" w:hAnsi="Times New Roman"/>
                <w:color w:val="000000"/>
                <w:sz w:val="24"/>
                <w:szCs w:val="24"/>
                <w:lang w:val="en-GB"/>
              </w:rPr>
            </w:pPr>
            <w:r w:rsidRPr="0029408A">
              <w:rPr>
                <w:rFonts w:ascii="Times New Roman" w:hAnsi="Times New Roman"/>
                <w:color w:val="000000"/>
                <w:sz w:val="24"/>
                <w:szCs w:val="24"/>
                <w:lang w:val="en-GB"/>
              </w:rPr>
              <w:t>110</w:t>
            </w:r>
          </w:p>
        </w:tc>
        <w:tc>
          <w:tcPr>
            <w:tcW w:w="4515" w:type="pct"/>
            <w:tcBorders>
              <w:top w:val="single" w:sz="6" w:space="0" w:color="000000"/>
              <w:left w:val="single" w:sz="6" w:space="0" w:color="000000"/>
              <w:bottom w:val="single" w:sz="6" w:space="0" w:color="000000"/>
              <w:right w:val="single" w:sz="6" w:space="0" w:color="000000"/>
            </w:tcBorders>
            <w:shd w:val="clear" w:color="auto" w:fill="FFFFFF"/>
            <w:hideMark/>
          </w:tcPr>
          <w:p w14:paraId="6B7ED0D7" w14:textId="77777777" w:rsidR="008E08C4" w:rsidRPr="0029408A" w:rsidRDefault="001C0D6E" w:rsidP="008E08C4">
            <w:pPr>
              <w:spacing w:after="120"/>
              <w:ind w:left="174"/>
              <w:jc w:val="both"/>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Weights applied to own funds requirements</w:t>
            </w:r>
          </w:p>
          <w:p w14:paraId="7B1EC68B" w14:textId="77777777" w:rsidR="008E08C4" w:rsidRPr="0029408A" w:rsidRDefault="00787051" w:rsidP="008E08C4">
            <w:pPr>
              <w:tabs>
                <w:tab w:val="left" w:pos="13064"/>
              </w:tabs>
              <w:spacing w:before="120"/>
              <w:ind w:left="174" w:right="234"/>
              <w:jc w:val="both"/>
              <w:rPr>
                <w:rFonts w:ascii="Times New Roman" w:hAnsi="Times New Roman"/>
                <w:color w:val="000000"/>
                <w:sz w:val="24"/>
                <w:szCs w:val="24"/>
                <w:lang w:val="en-GB"/>
              </w:rPr>
            </w:pPr>
            <w:r w:rsidRPr="0029408A">
              <w:rPr>
                <w:rFonts w:ascii="Times New Roman" w:hAnsi="Times New Roman"/>
                <w:color w:val="000000"/>
                <w:sz w:val="24"/>
                <w:szCs w:val="24"/>
                <w:lang w:val="en-GB"/>
              </w:rPr>
              <w:t>Share applied in each country to the countercyclical buffer rate, calculated as the result of dividing the total own funds requirements relating to the relevant credit exposures in the country concerned (row 01X, column 100) to the total own funds requirements relating to all relevant credit exposures for the calculation of the countercyclical buffer in accordance with Regulation no. 110/2018 (row 020, column 100).</w:t>
            </w:r>
          </w:p>
          <w:p w14:paraId="66B3C372" w14:textId="77777777" w:rsidR="008E08C4" w:rsidRPr="0029408A" w:rsidRDefault="00787051" w:rsidP="008E08C4">
            <w:pPr>
              <w:spacing w:before="120"/>
              <w:ind w:left="174"/>
              <w:jc w:val="both"/>
              <w:rPr>
                <w:rFonts w:ascii="Times New Roman" w:hAnsi="Times New Roman"/>
                <w:color w:val="000000"/>
                <w:sz w:val="24"/>
                <w:szCs w:val="24"/>
                <w:lang w:val="en-GB"/>
              </w:rPr>
            </w:pPr>
            <w:r w:rsidRPr="0029408A">
              <w:rPr>
                <w:rFonts w:ascii="Times New Roman" w:hAnsi="Times New Roman"/>
                <w:color w:val="000000"/>
                <w:sz w:val="24"/>
                <w:szCs w:val="24"/>
                <w:lang w:val="en-GB"/>
              </w:rPr>
              <w:t>This value is presented as an absolute number, with 2 decimals.</w:t>
            </w:r>
          </w:p>
        </w:tc>
      </w:tr>
      <w:tr w:rsidR="000F2B3E" w:rsidRPr="0029408A" w14:paraId="23C7402E" w14:textId="77777777" w:rsidTr="008E08C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069532" w14:textId="77777777" w:rsidR="008E08C4" w:rsidRPr="0029408A" w:rsidRDefault="008E08C4" w:rsidP="008E08C4">
            <w:pPr>
              <w:spacing w:before="60" w:after="60"/>
              <w:rPr>
                <w:rFonts w:ascii="Times New Roman" w:hAnsi="Times New Roman"/>
                <w:color w:val="000000"/>
                <w:sz w:val="24"/>
                <w:szCs w:val="24"/>
                <w:lang w:val="en-GB"/>
              </w:rPr>
            </w:pPr>
            <w:r w:rsidRPr="0029408A">
              <w:rPr>
                <w:rFonts w:ascii="Times New Roman" w:hAnsi="Times New Roman"/>
                <w:color w:val="000000"/>
                <w:sz w:val="24"/>
                <w:szCs w:val="24"/>
                <w:lang w:val="en-GB"/>
              </w:rPr>
              <w:t>120</w:t>
            </w:r>
          </w:p>
        </w:tc>
        <w:tc>
          <w:tcPr>
            <w:tcW w:w="4515" w:type="pct"/>
            <w:tcBorders>
              <w:top w:val="single" w:sz="6" w:space="0" w:color="000000"/>
              <w:left w:val="single" w:sz="6" w:space="0" w:color="000000"/>
              <w:bottom w:val="single" w:sz="6" w:space="0" w:color="000000"/>
              <w:right w:val="single" w:sz="6" w:space="0" w:color="000000"/>
            </w:tcBorders>
            <w:shd w:val="clear" w:color="auto" w:fill="FFFFFF"/>
            <w:hideMark/>
          </w:tcPr>
          <w:p w14:paraId="34966D04" w14:textId="77777777" w:rsidR="008E08C4" w:rsidRPr="0029408A" w:rsidRDefault="001300C2" w:rsidP="008E08C4">
            <w:pPr>
              <w:spacing w:before="240" w:after="120"/>
              <w:ind w:left="174" w:right="234"/>
              <w:jc w:val="both"/>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Countercyclical capital buffer rate</w:t>
            </w:r>
          </w:p>
          <w:p w14:paraId="09E101BB" w14:textId="77777777" w:rsidR="008E08C4" w:rsidRPr="0029408A" w:rsidRDefault="001300C2" w:rsidP="008E08C4">
            <w:pPr>
              <w:spacing w:before="120"/>
              <w:ind w:left="174" w:right="234"/>
              <w:jc w:val="both"/>
              <w:rPr>
                <w:rFonts w:ascii="Times New Roman" w:hAnsi="Times New Roman"/>
                <w:color w:val="000000"/>
                <w:sz w:val="24"/>
                <w:szCs w:val="24"/>
                <w:lang w:val="en-GB"/>
              </w:rPr>
            </w:pPr>
            <w:r w:rsidRPr="0029408A">
              <w:rPr>
                <w:rFonts w:ascii="Times New Roman" w:hAnsi="Times New Roman"/>
                <w:color w:val="000000"/>
                <w:sz w:val="24"/>
                <w:szCs w:val="24"/>
                <w:lang w:val="en-GB"/>
              </w:rPr>
              <w:t xml:space="preserve">The rate of the capital countercyclical buffer applicable in the country concerned, established in accordance with Regulation no. 110/2018. This column does not include the countercyclical capital buffer rates that have been </w:t>
            </w:r>
            <w:proofErr w:type="gramStart"/>
            <w:r w:rsidRPr="0029408A">
              <w:rPr>
                <w:rFonts w:ascii="Times New Roman" w:hAnsi="Times New Roman"/>
                <w:color w:val="000000"/>
                <w:sz w:val="24"/>
                <w:szCs w:val="24"/>
                <w:lang w:val="en-GB"/>
              </w:rPr>
              <w:t>set, but</w:t>
            </w:r>
            <w:proofErr w:type="gramEnd"/>
            <w:r w:rsidRPr="0029408A">
              <w:rPr>
                <w:rFonts w:ascii="Times New Roman" w:hAnsi="Times New Roman"/>
                <w:color w:val="000000"/>
                <w:sz w:val="24"/>
                <w:szCs w:val="24"/>
                <w:lang w:val="en-GB"/>
              </w:rPr>
              <w:t xml:space="preserve"> are not yet applicable when calculating the bank-specific countercyclical capital buffer to which the publication relates.</w:t>
            </w:r>
          </w:p>
          <w:p w14:paraId="180C1D28" w14:textId="77777777" w:rsidR="008E08C4" w:rsidRPr="0029408A" w:rsidRDefault="001300C2" w:rsidP="008E08C4">
            <w:pPr>
              <w:spacing w:before="120"/>
              <w:ind w:left="174" w:right="234"/>
              <w:jc w:val="both"/>
              <w:rPr>
                <w:rFonts w:ascii="Times New Roman" w:hAnsi="Times New Roman"/>
                <w:color w:val="000000"/>
                <w:sz w:val="24"/>
                <w:szCs w:val="24"/>
                <w:lang w:val="en-GB"/>
              </w:rPr>
            </w:pPr>
            <w:r w:rsidRPr="0029408A">
              <w:rPr>
                <w:rFonts w:ascii="Times New Roman" w:hAnsi="Times New Roman"/>
                <w:color w:val="000000"/>
                <w:sz w:val="24"/>
                <w:szCs w:val="24"/>
                <w:lang w:val="en-GB"/>
              </w:rPr>
              <w:t>This value is presented as a percentage with the same number of decimals established in accordance with Regulation no. 110/2018.</w:t>
            </w:r>
          </w:p>
        </w:tc>
      </w:tr>
    </w:tbl>
    <w:p w14:paraId="2DF5E47A" w14:textId="77777777" w:rsidR="008E08C4" w:rsidRPr="0029408A" w:rsidRDefault="008E08C4" w:rsidP="008E08C4">
      <w:pPr>
        <w:shd w:val="clear" w:color="auto" w:fill="FFFFFF"/>
        <w:spacing w:before="240" w:after="120"/>
        <w:jc w:val="center"/>
        <w:rPr>
          <w:rFonts w:ascii="Times New Roman" w:hAnsi="Times New Roman"/>
          <w:b/>
          <w:bCs/>
          <w:color w:val="000000"/>
          <w:sz w:val="24"/>
          <w:szCs w:val="24"/>
          <w:lang w:val="en-GB"/>
        </w:rPr>
      </w:pPr>
    </w:p>
    <w:p w14:paraId="4D4AE5E6" w14:textId="77777777" w:rsidR="008E08C4" w:rsidRPr="0029408A" w:rsidRDefault="008E08C4" w:rsidP="008E08C4">
      <w:pPr>
        <w:shd w:val="clear" w:color="auto" w:fill="FFFFFF"/>
        <w:spacing w:before="240" w:after="120"/>
        <w:jc w:val="center"/>
        <w:rPr>
          <w:rFonts w:ascii="Times New Roman" w:hAnsi="Times New Roman"/>
          <w:b/>
          <w:bCs/>
          <w:color w:val="000000"/>
          <w:sz w:val="24"/>
          <w:szCs w:val="24"/>
          <w:lang w:val="en-GB"/>
        </w:rPr>
      </w:pPr>
    </w:p>
    <w:p w14:paraId="4D6290A1" w14:textId="77777777" w:rsidR="008E08C4" w:rsidRPr="0029408A" w:rsidRDefault="006F48F4" w:rsidP="008E08C4">
      <w:pPr>
        <w:shd w:val="clear" w:color="auto" w:fill="FFFFFF"/>
        <w:spacing w:before="120" w:after="120"/>
        <w:jc w:val="center"/>
        <w:rPr>
          <w:rFonts w:ascii="Times New Roman" w:hAnsi="Times New Roman"/>
          <w:color w:val="000000"/>
          <w:sz w:val="24"/>
          <w:szCs w:val="24"/>
          <w:lang w:val="en-GB"/>
        </w:rPr>
      </w:pPr>
      <w:r w:rsidRPr="0029408A">
        <w:rPr>
          <w:rFonts w:ascii="Times New Roman" w:hAnsi="Times New Roman"/>
          <w:i/>
          <w:iCs/>
          <w:color w:val="000000"/>
          <w:sz w:val="24"/>
          <w:szCs w:val="24"/>
          <w:lang w:val="en-GB"/>
        </w:rPr>
        <w:t>Table</w:t>
      </w:r>
      <w:r w:rsidR="008E08C4" w:rsidRPr="0029408A">
        <w:rPr>
          <w:rFonts w:ascii="Times New Roman" w:hAnsi="Times New Roman"/>
          <w:i/>
          <w:iCs/>
          <w:color w:val="000000"/>
          <w:sz w:val="24"/>
          <w:szCs w:val="24"/>
          <w:lang w:val="en-GB"/>
        </w:rPr>
        <w:t xml:space="preserve"> 2</w:t>
      </w:r>
    </w:p>
    <w:p w14:paraId="595355CA" w14:textId="77777777" w:rsidR="008E08C4" w:rsidRPr="0029408A" w:rsidRDefault="00E86F24" w:rsidP="008E08C4">
      <w:pPr>
        <w:shd w:val="clear" w:color="auto" w:fill="FFFFFF"/>
        <w:spacing w:before="120" w:after="120"/>
        <w:jc w:val="center"/>
        <w:rPr>
          <w:rFonts w:ascii="Times New Roman" w:hAnsi="Times New Roman"/>
          <w:color w:val="000000"/>
          <w:sz w:val="24"/>
          <w:szCs w:val="24"/>
          <w:lang w:val="en-GB"/>
        </w:rPr>
      </w:pPr>
      <w:r w:rsidRPr="0029408A">
        <w:rPr>
          <w:rFonts w:ascii="Times New Roman" w:hAnsi="Times New Roman"/>
          <w:b/>
          <w:bCs/>
          <w:color w:val="000000"/>
          <w:sz w:val="24"/>
          <w:szCs w:val="24"/>
          <w:lang w:val="en-GB"/>
        </w:rPr>
        <w:t>The value of the bank-specific countercyclical capital buffer</w:t>
      </w:r>
    </w:p>
    <w:p w14:paraId="6D0F1666" w14:textId="77777777" w:rsidR="008E08C4" w:rsidRPr="0029408A" w:rsidRDefault="00E47CA9" w:rsidP="008E08C4">
      <w:pPr>
        <w:shd w:val="clear" w:color="auto" w:fill="FFFFFF"/>
        <w:spacing w:before="120"/>
        <w:jc w:val="both"/>
        <w:rPr>
          <w:rFonts w:ascii="Times New Roman" w:hAnsi="Times New Roman"/>
          <w:color w:val="000000"/>
          <w:sz w:val="24"/>
          <w:szCs w:val="24"/>
          <w:lang w:val="en-GB"/>
        </w:rPr>
      </w:pPr>
      <w:r w:rsidRPr="0029408A">
        <w:rPr>
          <w:rFonts w:ascii="Times New Roman" w:hAnsi="Times New Roman"/>
          <w:color w:val="000000"/>
          <w:sz w:val="24"/>
          <w:szCs w:val="24"/>
          <w:lang w:val="en-GB"/>
        </w:rPr>
        <w:t>Banks shall apply the instructions set out in this compartment to complete Table 2 - The value of the bank-specific countercyclical capital buffer.</w:t>
      </w:r>
    </w:p>
    <w:tbl>
      <w:tblPr>
        <w:tblW w:w="5066" w:type="pct"/>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052"/>
        <w:gridCol w:w="8749"/>
      </w:tblGrid>
      <w:tr w:rsidR="000F2B3E" w:rsidRPr="0029408A" w14:paraId="52B73E6A" w14:textId="77777777" w:rsidTr="008E08C4">
        <w:trPr>
          <w:tblCellSpacing w:w="0" w:type="dxa"/>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6DB3618" w14:textId="77777777" w:rsidR="008E08C4" w:rsidRPr="0029408A" w:rsidRDefault="00E47CA9" w:rsidP="008E08C4">
            <w:pPr>
              <w:spacing w:before="60" w:after="60"/>
              <w:ind w:right="195"/>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Legal references and instructions</w:t>
            </w:r>
          </w:p>
        </w:tc>
      </w:tr>
      <w:tr w:rsidR="000F2B3E" w:rsidRPr="0029408A" w14:paraId="23436C61" w14:textId="77777777" w:rsidTr="008E08C4">
        <w:trPr>
          <w:tblCellSpacing w:w="0" w:type="dxa"/>
        </w:trPr>
        <w:tc>
          <w:tcPr>
            <w:tcW w:w="486" w:type="pct"/>
            <w:tcBorders>
              <w:top w:val="single" w:sz="6" w:space="0" w:color="000000"/>
              <w:left w:val="single" w:sz="6" w:space="0" w:color="000000"/>
              <w:bottom w:val="single" w:sz="6" w:space="0" w:color="000000"/>
              <w:right w:val="single" w:sz="6" w:space="0" w:color="000000"/>
            </w:tcBorders>
            <w:shd w:val="clear" w:color="auto" w:fill="FFFFFF"/>
            <w:hideMark/>
          </w:tcPr>
          <w:p w14:paraId="5AE2408C" w14:textId="77777777" w:rsidR="008E08C4" w:rsidRPr="0029408A" w:rsidRDefault="00E47CA9" w:rsidP="008E08C4">
            <w:pPr>
              <w:spacing w:before="60" w:after="60"/>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Row no</w:t>
            </w:r>
            <w:r w:rsidR="008E08C4" w:rsidRPr="0029408A">
              <w:rPr>
                <w:rFonts w:ascii="Times New Roman" w:hAnsi="Times New Roman"/>
                <w:b/>
                <w:bCs/>
                <w:color w:val="000000"/>
                <w:sz w:val="24"/>
                <w:szCs w:val="24"/>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D3251C" w14:textId="77777777" w:rsidR="008E08C4" w:rsidRPr="0029408A" w:rsidRDefault="00E47CA9" w:rsidP="008E08C4">
            <w:pPr>
              <w:spacing w:before="60" w:after="60"/>
              <w:ind w:right="195"/>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Explanation</w:t>
            </w:r>
          </w:p>
        </w:tc>
      </w:tr>
      <w:tr w:rsidR="000F2B3E" w:rsidRPr="0029408A" w14:paraId="3C21AF1A" w14:textId="77777777" w:rsidTr="008E08C4">
        <w:trPr>
          <w:trHeight w:val="831"/>
          <w:tblCellSpacing w:w="0" w:type="dxa"/>
        </w:trPr>
        <w:tc>
          <w:tcPr>
            <w:tcW w:w="486" w:type="pct"/>
            <w:tcBorders>
              <w:top w:val="single" w:sz="6" w:space="0" w:color="000000"/>
              <w:left w:val="single" w:sz="6" w:space="0" w:color="000000"/>
              <w:bottom w:val="single" w:sz="6" w:space="0" w:color="000000"/>
              <w:right w:val="single" w:sz="6" w:space="0" w:color="000000"/>
            </w:tcBorders>
            <w:shd w:val="clear" w:color="auto" w:fill="FFFFFF"/>
            <w:hideMark/>
          </w:tcPr>
          <w:p w14:paraId="6CA18A78" w14:textId="77777777" w:rsidR="008E08C4" w:rsidRPr="0029408A" w:rsidRDefault="008E08C4" w:rsidP="008E08C4">
            <w:pPr>
              <w:spacing w:before="60" w:after="60"/>
              <w:rPr>
                <w:rFonts w:ascii="Times New Roman" w:hAnsi="Times New Roman"/>
                <w:color w:val="000000"/>
                <w:sz w:val="24"/>
                <w:szCs w:val="24"/>
                <w:lang w:val="en-GB"/>
              </w:rPr>
            </w:pPr>
            <w:r w:rsidRPr="0029408A">
              <w:rPr>
                <w:rFonts w:ascii="Times New Roman" w:hAnsi="Times New Roman"/>
                <w:color w:val="000000"/>
                <w:sz w:val="24"/>
                <w:szCs w:val="24"/>
                <w:lang w:val="en-GB"/>
              </w:rPr>
              <w:lastRenderedPageBreak/>
              <w:t>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4A1781" w14:textId="77777777" w:rsidR="008E08C4" w:rsidRPr="0029408A" w:rsidRDefault="00942918" w:rsidP="008E08C4">
            <w:pPr>
              <w:spacing w:before="120"/>
              <w:ind w:left="174" w:right="234"/>
              <w:jc w:val="both"/>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The total value of the risk exposure</w:t>
            </w:r>
          </w:p>
          <w:p w14:paraId="117477B9" w14:textId="77777777" w:rsidR="008E08C4" w:rsidRPr="0029408A" w:rsidRDefault="00942918" w:rsidP="00845D69">
            <w:pPr>
              <w:spacing w:before="120"/>
              <w:ind w:left="174" w:right="234"/>
              <w:jc w:val="both"/>
              <w:rPr>
                <w:rFonts w:ascii="Times New Roman" w:hAnsi="Times New Roman"/>
                <w:color w:val="000000"/>
                <w:sz w:val="24"/>
                <w:szCs w:val="24"/>
                <w:lang w:val="en-GB"/>
              </w:rPr>
            </w:pPr>
            <w:r w:rsidRPr="0029408A">
              <w:rPr>
                <w:rFonts w:ascii="Times New Roman" w:hAnsi="Times New Roman"/>
                <w:color w:val="000000"/>
                <w:sz w:val="24"/>
                <w:szCs w:val="24"/>
                <w:lang w:val="en-GB"/>
              </w:rPr>
              <w:t>The total value of the risk exposure, calculated in accordance with point 132 of Regulation no. 109/2018.</w:t>
            </w:r>
          </w:p>
        </w:tc>
      </w:tr>
      <w:tr w:rsidR="000F2B3E" w:rsidRPr="0029408A" w14:paraId="6D8EA2ED" w14:textId="77777777" w:rsidTr="008E08C4">
        <w:trPr>
          <w:tblCellSpacing w:w="0" w:type="dxa"/>
        </w:trPr>
        <w:tc>
          <w:tcPr>
            <w:tcW w:w="486" w:type="pct"/>
            <w:tcBorders>
              <w:top w:val="single" w:sz="6" w:space="0" w:color="000000"/>
              <w:left w:val="single" w:sz="6" w:space="0" w:color="000000"/>
              <w:bottom w:val="single" w:sz="6" w:space="0" w:color="000000"/>
              <w:right w:val="single" w:sz="6" w:space="0" w:color="000000"/>
            </w:tcBorders>
            <w:shd w:val="clear" w:color="auto" w:fill="FFFFFF"/>
            <w:hideMark/>
          </w:tcPr>
          <w:p w14:paraId="73474971" w14:textId="77777777" w:rsidR="008E08C4" w:rsidRPr="0029408A" w:rsidRDefault="008E08C4" w:rsidP="008E08C4">
            <w:pPr>
              <w:spacing w:before="60" w:after="60"/>
              <w:rPr>
                <w:rFonts w:ascii="Times New Roman" w:hAnsi="Times New Roman"/>
                <w:color w:val="000000"/>
                <w:sz w:val="24"/>
                <w:szCs w:val="24"/>
                <w:lang w:val="en-GB"/>
              </w:rPr>
            </w:pPr>
            <w:r w:rsidRPr="0029408A">
              <w:rPr>
                <w:rFonts w:ascii="Times New Roman" w:hAnsi="Times New Roman"/>
                <w:color w:val="000000"/>
                <w:sz w:val="24"/>
                <w:szCs w:val="24"/>
                <w:lang w:val="en-GB"/>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D95B74" w14:textId="77777777" w:rsidR="008E08C4" w:rsidRPr="0029408A" w:rsidRDefault="00F25E10" w:rsidP="008E08C4">
            <w:pPr>
              <w:spacing w:before="120"/>
              <w:ind w:left="174" w:right="234"/>
              <w:jc w:val="both"/>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Bank-specific countercyclical capital buffer rate</w:t>
            </w:r>
          </w:p>
          <w:p w14:paraId="7D963E17" w14:textId="77777777" w:rsidR="008E08C4" w:rsidRPr="0029408A" w:rsidRDefault="00F25E10" w:rsidP="008E08C4">
            <w:pPr>
              <w:spacing w:before="120"/>
              <w:ind w:left="174" w:right="234"/>
              <w:jc w:val="both"/>
              <w:rPr>
                <w:rFonts w:ascii="Times New Roman" w:hAnsi="Times New Roman"/>
                <w:bCs/>
                <w:color w:val="000000"/>
                <w:sz w:val="24"/>
                <w:szCs w:val="24"/>
                <w:lang w:val="en-GB"/>
              </w:rPr>
            </w:pPr>
            <w:r w:rsidRPr="0029408A">
              <w:rPr>
                <w:rFonts w:ascii="Times New Roman" w:hAnsi="Times New Roman"/>
                <w:color w:val="000000"/>
                <w:sz w:val="24"/>
                <w:szCs w:val="24"/>
                <w:lang w:val="en-GB"/>
              </w:rPr>
              <w:t>Bank-specific countercyclical capital buffer rate, determined in accordance with Regulation no. 110/2018.</w:t>
            </w:r>
          </w:p>
          <w:p w14:paraId="07D8E71A" w14:textId="77777777" w:rsidR="008E08C4" w:rsidRPr="0029408A" w:rsidRDefault="009E7984" w:rsidP="008E08C4">
            <w:pPr>
              <w:spacing w:before="120"/>
              <w:ind w:left="174" w:right="234"/>
              <w:jc w:val="both"/>
              <w:rPr>
                <w:rFonts w:ascii="Times New Roman" w:hAnsi="Times New Roman"/>
                <w:bCs/>
                <w:color w:val="000000"/>
                <w:sz w:val="24"/>
                <w:szCs w:val="24"/>
                <w:lang w:val="en-GB"/>
              </w:rPr>
            </w:pPr>
            <w:r w:rsidRPr="0029408A">
              <w:rPr>
                <w:rFonts w:ascii="Times New Roman" w:hAnsi="Times New Roman"/>
                <w:bCs/>
                <w:color w:val="000000"/>
                <w:sz w:val="24"/>
                <w:szCs w:val="24"/>
                <w:lang w:val="en-GB"/>
              </w:rPr>
              <w:t>The bank-specific countercyclical capital buffer rate is calculated as a weighted average of the countercyclical buffer rates applicable in the countries where the relevant bank credit exposures are located and are reported in rows 010-01X, in column 120 of Table 1.</w:t>
            </w:r>
          </w:p>
          <w:p w14:paraId="272695E8" w14:textId="77777777" w:rsidR="008E08C4" w:rsidRPr="0029408A" w:rsidRDefault="009E7984" w:rsidP="008E08C4">
            <w:pPr>
              <w:spacing w:before="120"/>
              <w:ind w:left="174" w:right="234"/>
              <w:jc w:val="both"/>
              <w:rPr>
                <w:rFonts w:ascii="Times New Roman" w:hAnsi="Times New Roman"/>
                <w:bCs/>
                <w:color w:val="000000"/>
                <w:sz w:val="24"/>
                <w:szCs w:val="24"/>
                <w:lang w:val="en-GB"/>
              </w:rPr>
            </w:pPr>
            <w:r w:rsidRPr="0029408A">
              <w:rPr>
                <w:rFonts w:ascii="Times New Roman" w:hAnsi="Times New Roman"/>
                <w:bCs/>
                <w:color w:val="000000"/>
                <w:sz w:val="24"/>
                <w:szCs w:val="24"/>
                <w:lang w:val="en-GB"/>
              </w:rPr>
              <w:t>The share applied to the countercyclical buffer rate in each country is the share of own funds requirements in the total own funds requirements related to the relevant credit exposures in the territory concerned and is presented in Table 1 column 110</w:t>
            </w:r>
            <w:r w:rsidR="008E08C4" w:rsidRPr="0029408A">
              <w:rPr>
                <w:rFonts w:ascii="Times New Roman" w:hAnsi="Times New Roman"/>
                <w:bCs/>
                <w:color w:val="000000"/>
                <w:sz w:val="24"/>
                <w:szCs w:val="24"/>
                <w:lang w:val="en-GB"/>
              </w:rPr>
              <w:t>.</w:t>
            </w:r>
          </w:p>
          <w:p w14:paraId="0E51A75F" w14:textId="77777777" w:rsidR="008E08C4" w:rsidRPr="0029408A" w:rsidRDefault="009E7984" w:rsidP="008E08C4">
            <w:pPr>
              <w:spacing w:before="120"/>
              <w:ind w:left="174" w:right="234"/>
              <w:jc w:val="both"/>
              <w:rPr>
                <w:rFonts w:ascii="Times New Roman" w:hAnsi="Times New Roman"/>
                <w:color w:val="000000"/>
                <w:sz w:val="24"/>
                <w:szCs w:val="24"/>
                <w:lang w:val="en-GB"/>
              </w:rPr>
            </w:pPr>
            <w:r w:rsidRPr="0029408A">
              <w:rPr>
                <w:rFonts w:ascii="Times New Roman" w:hAnsi="Times New Roman"/>
                <w:bCs/>
                <w:color w:val="000000"/>
                <w:sz w:val="24"/>
                <w:szCs w:val="24"/>
                <w:lang w:val="en-GB"/>
              </w:rPr>
              <w:t>This value is presented as an absolute number, with 2 decimals.</w:t>
            </w:r>
          </w:p>
        </w:tc>
      </w:tr>
      <w:tr w:rsidR="000F2B3E" w:rsidRPr="0029408A" w14:paraId="46D5CF5D" w14:textId="77777777" w:rsidTr="008E08C4">
        <w:trPr>
          <w:tblCellSpacing w:w="0" w:type="dxa"/>
        </w:trPr>
        <w:tc>
          <w:tcPr>
            <w:tcW w:w="486" w:type="pct"/>
            <w:tcBorders>
              <w:top w:val="single" w:sz="6" w:space="0" w:color="000000"/>
              <w:left w:val="single" w:sz="6" w:space="0" w:color="000000"/>
              <w:bottom w:val="single" w:sz="6" w:space="0" w:color="000000"/>
              <w:right w:val="single" w:sz="6" w:space="0" w:color="000000"/>
            </w:tcBorders>
            <w:shd w:val="clear" w:color="auto" w:fill="FFFFFF"/>
            <w:hideMark/>
          </w:tcPr>
          <w:p w14:paraId="140D5FE0" w14:textId="77777777" w:rsidR="008E08C4" w:rsidRPr="0029408A" w:rsidRDefault="008E08C4" w:rsidP="008E08C4">
            <w:pPr>
              <w:spacing w:before="60" w:after="60"/>
              <w:rPr>
                <w:rFonts w:ascii="Times New Roman" w:hAnsi="Times New Roman"/>
                <w:color w:val="000000"/>
                <w:sz w:val="24"/>
                <w:szCs w:val="24"/>
                <w:lang w:val="en-GB"/>
              </w:rPr>
            </w:pPr>
            <w:r w:rsidRPr="0029408A">
              <w:rPr>
                <w:rFonts w:ascii="Times New Roman" w:hAnsi="Times New Roman"/>
                <w:color w:val="000000"/>
                <w:sz w:val="24"/>
                <w:szCs w:val="24"/>
                <w:lang w:val="en-GB"/>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23DEED" w14:textId="77777777" w:rsidR="008E08C4" w:rsidRPr="0029408A" w:rsidRDefault="004C6B68" w:rsidP="008E08C4">
            <w:pPr>
              <w:spacing w:before="120"/>
              <w:ind w:left="174" w:right="234"/>
              <w:jc w:val="both"/>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Bank-specific countercyclical capital buffer requirement</w:t>
            </w:r>
          </w:p>
          <w:p w14:paraId="5B2C2009" w14:textId="77777777" w:rsidR="008E08C4" w:rsidRPr="0029408A" w:rsidRDefault="00980C79" w:rsidP="008E08C4">
            <w:pPr>
              <w:spacing w:before="120"/>
              <w:ind w:left="174" w:right="234"/>
              <w:jc w:val="both"/>
              <w:rPr>
                <w:rFonts w:ascii="Times New Roman" w:hAnsi="Times New Roman"/>
                <w:color w:val="000000"/>
                <w:sz w:val="24"/>
                <w:szCs w:val="24"/>
                <w:lang w:val="en-GB"/>
              </w:rPr>
            </w:pPr>
            <w:r w:rsidRPr="0029408A">
              <w:rPr>
                <w:rFonts w:ascii="Times New Roman" w:hAnsi="Times New Roman"/>
                <w:color w:val="000000"/>
                <w:sz w:val="24"/>
                <w:szCs w:val="24"/>
                <w:lang w:val="en-GB"/>
              </w:rPr>
              <w:t>The bank-specific countercyclical capital buffer requirement, calculated as the bank-specific countercyclical buffer rate, as reported in row 020 of this Table, applied to the total amount of risk exposure, as reported in row 010 of the Table.</w:t>
            </w:r>
          </w:p>
        </w:tc>
      </w:tr>
      <w:tr w:rsidR="000F2B3E" w:rsidRPr="0029408A" w14:paraId="54B64B53" w14:textId="77777777" w:rsidTr="008E08C4">
        <w:trPr>
          <w:tblCellSpacing w:w="0" w:type="dxa"/>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380F150" w14:textId="77777777" w:rsidR="008E08C4" w:rsidRPr="0029408A" w:rsidRDefault="00980C79" w:rsidP="008E08C4">
            <w:pPr>
              <w:spacing w:before="60" w:after="60"/>
              <w:ind w:right="195"/>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Legal references and instructions</w:t>
            </w:r>
          </w:p>
        </w:tc>
      </w:tr>
      <w:tr w:rsidR="000F2B3E" w:rsidRPr="0029408A" w14:paraId="6D67E4AD" w14:textId="77777777" w:rsidTr="008E08C4">
        <w:trPr>
          <w:tblCellSpacing w:w="0" w:type="dxa"/>
        </w:trPr>
        <w:tc>
          <w:tcPr>
            <w:tcW w:w="486" w:type="pct"/>
            <w:tcBorders>
              <w:top w:val="single" w:sz="6" w:space="0" w:color="000000"/>
              <w:left w:val="single" w:sz="6" w:space="0" w:color="000000"/>
              <w:bottom w:val="single" w:sz="6" w:space="0" w:color="000000"/>
              <w:right w:val="single" w:sz="6" w:space="0" w:color="000000"/>
            </w:tcBorders>
            <w:shd w:val="clear" w:color="auto" w:fill="FFFFFF"/>
            <w:hideMark/>
          </w:tcPr>
          <w:p w14:paraId="70749102" w14:textId="77777777" w:rsidR="008E08C4" w:rsidRPr="0029408A" w:rsidRDefault="00980C79" w:rsidP="008E08C4">
            <w:pPr>
              <w:spacing w:before="60" w:after="60"/>
              <w:ind w:right="195"/>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Column no</w:t>
            </w:r>
            <w:r w:rsidR="008E08C4" w:rsidRPr="0029408A">
              <w:rPr>
                <w:rFonts w:ascii="Times New Roman" w:hAnsi="Times New Roman"/>
                <w:b/>
                <w:bCs/>
                <w:color w:val="000000"/>
                <w:sz w:val="24"/>
                <w:szCs w:val="24"/>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EBDC1C" w14:textId="77777777" w:rsidR="008E08C4" w:rsidRPr="0029408A" w:rsidRDefault="00980C79" w:rsidP="008E08C4">
            <w:pPr>
              <w:spacing w:before="60" w:after="60"/>
              <w:ind w:right="195"/>
              <w:jc w:val="center"/>
              <w:rPr>
                <w:rFonts w:ascii="Times New Roman" w:hAnsi="Times New Roman"/>
                <w:b/>
                <w:bCs/>
                <w:color w:val="000000"/>
                <w:sz w:val="24"/>
                <w:szCs w:val="24"/>
                <w:lang w:val="en-GB"/>
              </w:rPr>
            </w:pPr>
            <w:r w:rsidRPr="0029408A">
              <w:rPr>
                <w:rFonts w:ascii="Times New Roman" w:hAnsi="Times New Roman"/>
                <w:b/>
                <w:bCs/>
                <w:color w:val="000000"/>
                <w:sz w:val="24"/>
                <w:szCs w:val="24"/>
                <w:lang w:val="en-GB"/>
              </w:rPr>
              <w:t>Explanation</w:t>
            </w:r>
          </w:p>
        </w:tc>
      </w:tr>
      <w:tr w:rsidR="000F2B3E" w:rsidRPr="0029408A" w14:paraId="6E879758" w14:textId="77777777" w:rsidTr="008E08C4">
        <w:trPr>
          <w:tblCellSpacing w:w="0" w:type="dxa"/>
        </w:trPr>
        <w:tc>
          <w:tcPr>
            <w:tcW w:w="486" w:type="pct"/>
            <w:tcBorders>
              <w:top w:val="single" w:sz="6" w:space="0" w:color="000000"/>
              <w:left w:val="single" w:sz="6" w:space="0" w:color="000000"/>
              <w:bottom w:val="single" w:sz="6" w:space="0" w:color="000000"/>
              <w:right w:val="single" w:sz="6" w:space="0" w:color="000000"/>
            </w:tcBorders>
            <w:shd w:val="clear" w:color="auto" w:fill="FFFFFF"/>
            <w:hideMark/>
          </w:tcPr>
          <w:p w14:paraId="45BCBE21" w14:textId="77777777" w:rsidR="008E08C4" w:rsidRPr="0029408A" w:rsidRDefault="008E08C4" w:rsidP="008E08C4">
            <w:pPr>
              <w:spacing w:before="60" w:after="60"/>
              <w:jc w:val="center"/>
              <w:rPr>
                <w:rFonts w:ascii="Times New Roman" w:hAnsi="Times New Roman"/>
                <w:color w:val="000000"/>
                <w:sz w:val="24"/>
                <w:szCs w:val="24"/>
                <w:lang w:val="en-GB"/>
              </w:rPr>
            </w:pPr>
            <w:r w:rsidRPr="0029408A">
              <w:rPr>
                <w:rFonts w:ascii="Times New Roman" w:hAnsi="Times New Roman"/>
                <w:color w:val="000000"/>
                <w:sz w:val="24"/>
                <w:szCs w:val="24"/>
                <w:lang w:val="en-GB"/>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D6C66F" w14:textId="77777777" w:rsidR="008E08C4" w:rsidRPr="0029408A" w:rsidRDefault="00B47CCA" w:rsidP="008E08C4">
            <w:pPr>
              <w:spacing w:before="120"/>
              <w:ind w:left="174" w:right="234"/>
              <w:jc w:val="both"/>
              <w:rPr>
                <w:rFonts w:ascii="Times New Roman" w:hAnsi="Times New Roman"/>
                <w:color w:val="000000"/>
                <w:sz w:val="24"/>
                <w:szCs w:val="24"/>
                <w:lang w:val="en-GB"/>
              </w:rPr>
            </w:pPr>
            <w:r w:rsidRPr="0029408A">
              <w:rPr>
                <w:rFonts w:ascii="Times New Roman" w:hAnsi="Times New Roman"/>
                <w:color w:val="000000"/>
                <w:sz w:val="24"/>
                <w:szCs w:val="24"/>
                <w:lang w:val="en-GB"/>
              </w:rPr>
              <w:t>The value as described according to the explanation for rows 010-030 in this Table.</w:t>
            </w:r>
          </w:p>
        </w:tc>
      </w:tr>
    </w:tbl>
    <w:p w14:paraId="62C5F118" w14:textId="77777777" w:rsidR="002D2F9C" w:rsidRPr="0029408A" w:rsidRDefault="002D2F9C">
      <w:pPr>
        <w:rPr>
          <w:rFonts w:ascii="Times New Roman" w:hAnsi="Times New Roman"/>
          <w:color w:val="000000"/>
          <w:sz w:val="24"/>
          <w:szCs w:val="24"/>
          <w:lang w:val="en-GB"/>
        </w:rPr>
      </w:pPr>
    </w:p>
    <w:sectPr w:rsidR="002D2F9C" w:rsidRPr="0029408A" w:rsidSect="00D95DB1">
      <w:headerReference w:type="even" r:id="rId31"/>
      <w:headerReference w:type="default" r:id="rId32"/>
      <w:footerReference w:type="even" r:id="rId33"/>
      <w:footerReference w:type="default" r:id="rId34"/>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E28E5" w14:textId="77777777" w:rsidR="009D32EB" w:rsidRDefault="009D32EB" w:rsidP="004E6D8A">
      <w:pPr>
        <w:spacing w:after="0" w:line="240" w:lineRule="auto"/>
      </w:pPr>
      <w:r>
        <w:separator/>
      </w:r>
    </w:p>
  </w:endnote>
  <w:endnote w:type="continuationSeparator" w:id="0">
    <w:p w14:paraId="068D65A6" w14:textId="77777777" w:rsidR="009D32EB" w:rsidRDefault="009D32EB" w:rsidP="004E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ermianSansTypeface">
    <w:panose1 w:val="02000000000000000000"/>
    <w:charset w:val="CC"/>
    <w:family w:val="auto"/>
    <w:pitch w:val="variable"/>
    <w:sig w:usb0="A000022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00AB" w14:textId="77777777" w:rsidR="00934798" w:rsidRDefault="00934798" w:rsidP="00D95DB1">
    <w:pPr>
      <w:pStyle w:val="Footer"/>
    </w:pPr>
    <w:bookmarkStart w:id="9" w:name="TITUS1FooterEvenPages"/>
    <w:r w:rsidRPr="00D95DB1">
      <w:rPr>
        <w:color w:val="000000"/>
        <w:sz w:val="2"/>
      </w:rPr>
      <w:t> </w:t>
    </w:r>
  </w:p>
  <w:bookmarkEnd w:id="9"/>
  <w:p w14:paraId="5658801A" w14:textId="77777777" w:rsidR="00934798" w:rsidRPr="004F4AF6" w:rsidRDefault="00934798" w:rsidP="00D95DB1">
    <w:pPr>
      <w:pStyle w:val="Footer"/>
      <w:jc w:val="right"/>
      <w:rPr>
        <w:rFonts w:ascii="Times New Roman" w:hAnsi="Times New Roman"/>
        <w:sz w:val="24"/>
      </w:rPr>
    </w:pPr>
    <w:r w:rsidRPr="004F4AF6">
      <w:rPr>
        <w:rFonts w:ascii="Times New Roman" w:hAnsi="Times New Roman"/>
        <w:sz w:val="24"/>
      </w:rPr>
      <w:fldChar w:fldCharType="begin"/>
    </w:r>
    <w:r w:rsidRPr="004F4AF6">
      <w:rPr>
        <w:rFonts w:ascii="Times New Roman" w:hAnsi="Times New Roman"/>
        <w:sz w:val="24"/>
      </w:rPr>
      <w:instrText xml:space="preserve"> PAGE   \* MERGEFORMAT </w:instrText>
    </w:r>
    <w:r w:rsidRPr="004F4AF6">
      <w:rPr>
        <w:rFonts w:ascii="Times New Roman" w:hAnsi="Times New Roman"/>
        <w:sz w:val="24"/>
      </w:rPr>
      <w:fldChar w:fldCharType="separate"/>
    </w:r>
    <w:r w:rsidR="0029408A">
      <w:rPr>
        <w:rFonts w:ascii="Times New Roman" w:hAnsi="Times New Roman"/>
        <w:noProof/>
        <w:sz w:val="24"/>
      </w:rPr>
      <w:t>20</w:t>
    </w:r>
    <w:r w:rsidRPr="004F4AF6">
      <w:rPr>
        <w:rFonts w:ascii="Times New Roman" w:hAnsi="Times New Roman"/>
        <w:noProof/>
        <w:sz w:val="24"/>
      </w:rPr>
      <w:fldChar w:fldCharType="end"/>
    </w:r>
  </w:p>
  <w:p w14:paraId="1C375970" w14:textId="77777777" w:rsidR="00934798" w:rsidRDefault="00934798" w:rsidP="00D95DB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532F" w14:textId="77777777" w:rsidR="00934798" w:rsidRDefault="00934798" w:rsidP="00D95DB1">
    <w:pPr>
      <w:pStyle w:val="Footer"/>
      <w:rPr>
        <w:rFonts w:ascii="PermianSansTypeface" w:hAnsi="PermianSansTypeface"/>
        <w:color w:val="000000"/>
        <w:sz w:val="16"/>
      </w:rPr>
    </w:pPr>
    <w:bookmarkStart w:id="25" w:name="TITUS5FooterPrimary"/>
    <w:r w:rsidRPr="00D95DB1">
      <w:rPr>
        <w:rFonts w:ascii="PermianSansTypeface" w:hAnsi="PermianSansTypeface"/>
        <w:color w:val="000000"/>
        <w:sz w:val="2"/>
      </w:rPr>
      <w:t> </w:t>
    </w:r>
  </w:p>
  <w:bookmarkEnd w:id="25"/>
  <w:p w14:paraId="61A7F3A2" w14:textId="77777777" w:rsidR="00934798" w:rsidRPr="00C616DE" w:rsidRDefault="00934798" w:rsidP="00D95DB1">
    <w:pPr>
      <w:pStyle w:val="Footer"/>
      <w:jc w:val="center"/>
    </w:pPr>
    <w:r>
      <w:rPr>
        <w:rFonts w:ascii="PermianSansTypeface" w:hAnsi="PermianSansTypeface"/>
        <w:color w:val="000000"/>
        <w:sz w:val="16"/>
      </w:rPr>
      <w:t xml:space="preserve"> </w:t>
    </w:r>
    <w:r w:rsidRPr="00C616DE">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B242" w14:textId="77777777" w:rsidR="00934798" w:rsidRDefault="0093479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A3D1" w14:textId="77777777" w:rsidR="00934798" w:rsidRDefault="00934798" w:rsidP="00D95DB1">
    <w:pPr>
      <w:pStyle w:val="Footer"/>
      <w:rPr>
        <w:rFonts w:ascii="PermianSansTypeface" w:hAnsi="PermianSansTypeface"/>
        <w:color w:val="000000"/>
        <w:sz w:val="16"/>
      </w:rPr>
    </w:pPr>
    <w:bookmarkStart w:id="28" w:name="TITUS6FooterEvenPages"/>
    <w:r w:rsidRPr="00D95DB1">
      <w:rPr>
        <w:rFonts w:ascii="PermianSansTypeface" w:hAnsi="PermianSansTypeface"/>
        <w:color w:val="000000"/>
        <w:sz w:val="2"/>
      </w:rPr>
      <w:t> </w:t>
    </w:r>
  </w:p>
  <w:bookmarkEnd w:id="28"/>
  <w:p w14:paraId="3F7155E1" w14:textId="77777777" w:rsidR="00934798" w:rsidRPr="00C616DE" w:rsidRDefault="00934798" w:rsidP="00D95DB1">
    <w:pPr>
      <w:pStyle w:val="Footer"/>
      <w:jc w:val="center"/>
    </w:pPr>
    <w:r>
      <w:rPr>
        <w:rFonts w:ascii="PermianSansTypeface" w:hAnsi="PermianSansTypeface"/>
        <w:color w:val="000000"/>
        <w:sz w:val="16"/>
      </w:rPr>
      <w:t xml:space="preserve"> </w:t>
    </w:r>
    <w:r w:rsidRPr="00C616DE">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A792" w14:textId="77777777" w:rsidR="00934798" w:rsidRDefault="00934798" w:rsidP="00D95DB1">
    <w:pPr>
      <w:pStyle w:val="Footer"/>
      <w:rPr>
        <w:rFonts w:ascii="PermianSansTypeface" w:hAnsi="PermianSansTypeface"/>
        <w:color w:val="000000"/>
        <w:sz w:val="16"/>
      </w:rPr>
    </w:pPr>
    <w:bookmarkStart w:id="29" w:name="TITUS6FooterPrimary"/>
    <w:r w:rsidRPr="00D95DB1">
      <w:rPr>
        <w:rFonts w:ascii="PermianSansTypeface" w:hAnsi="PermianSansTypeface"/>
        <w:color w:val="000000"/>
        <w:sz w:val="2"/>
      </w:rPr>
      <w:t> </w:t>
    </w:r>
  </w:p>
  <w:bookmarkEnd w:id="29"/>
  <w:p w14:paraId="08D366A2" w14:textId="77777777" w:rsidR="00934798" w:rsidRPr="00C616DE" w:rsidRDefault="00934798" w:rsidP="00D95DB1">
    <w:pPr>
      <w:pStyle w:val="Footer"/>
      <w:jc w:val="center"/>
    </w:pPr>
    <w:r>
      <w:rPr>
        <w:rFonts w:ascii="PermianSansTypeface" w:hAnsi="PermianSansTypeface"/>
        <w:color w:val="000000"/>
        <w:sz w:val="16"/>
      </w:rPr>
      <w:t xml:space="preserve"> </w:t>
    </w:r>
    <w:r w:rsidRPr="00C616D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788376"/>
      <w:docPartObj>
        <w:docPartGallery w:val="Page Numbers (Bottom of Page)"/>
        <w:docPartUnique/>
      </w:docPartObj>
    </w:sdtPr>
    <w:sdtEndPr>
      <w:rPr>
        <w:noProof/>
      </w:rPr>
    </w:sdtEndPr>
    <w:sdtContent>
      <w:p w14:paraId="6EBB665B" w14:textId="74F86604" w:rsidR="002075DA" w:rsidRDefault="002075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CAF413" w14:textId="77777777" w:rsidR="00934798" w:rsidRDefault="00934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E17B" w14:textId="77777777" w:rsidR="00934798" w:rsidRDefault="00934798" w:rsidP="00D95DB1">
    <w:pPr>
      <w:pStyle w:val="Footer"/>
      <w:rPr>
        <w:rFonts w:ascii="PermianSansTypeface" w:hAnsi="PermianSansTypeface"/>
        <w:color w:val="000000"/>
        <w:sz w:val="16"/>
      </w:rPr>
    </w:pPr>
    <w:bookmarkStart w:id="12" w:name="TITUS2FooterEvenPages"/>
    <w:r w:rsidRPr="00D95DB1">
      <w:rPr>
        <w:rFonts w:ascii="PermianSansTypeface" w:hAnsi="PermianSansTypeface"/>
        <w:color w:val="000000"/>
        <w:sz w:val="2"/>
      </w:rPr>
      <w:t> </w:t>
    </w:r>
  </w:p>
  <w:bookmarkEnd w:id="12"/>
  <w:p w14:paraId="3E3A19AE" w14:textId="77777777" w:rsidR="00934798" w:rsidRDefault="00934798" w:rsidP="00D95DB1">
    <w:pPr>
      <w:pStyle w:val="Footer"/>
      <w:jc w:val="center"/>
    </w:pPr>
    <w:r>
      <w:rPr>
        <w:rFonts w:ascii="PermianSansTypeface" w:hAnsi="PermianSansTypeface"/>
        <w:color w:val="000000"/>
        <w:sz w:val="16"/>
      </w:rPr>
      <w:t xml:space="preserve"> </w:t>
    </w:r>
  </w:p>
  <w:p w14:paraId="55F80B91" w14:textId="77777777" w:rsidR="00934798" w:rsidRDefault="00934798" w:rsidP="00D95DB1">
    <w:pPr>
      <w:pStyle w:val="Footer"/>
      <w:jc w:val="right"/>
    </w:pPr>
    <w:r>
      <w:rPr>
        <w:noProof/>
      </w:rPr>
      <w:fldChar w:fldCharType="begin"/>
    </w:r>
    <w:r>
      <w:rPr>
        <w:noProof/>
      </w:rPr>
      <w:instrText xml:space="preserve"> PAGE   \* MERGEFORMAT </w:instrText>
    </w:r>
    <w:r>
      <w:rPr>
        <w:noProof/>
      </w:rPr>
      <w:fldChar w:fldCharType="separate"/>
    </w:r>
    <w:r w:rsidR="0029408A">
      <w:rPr>
        <w:noProof/>
      </w:rPr>
      <w:t>38</w:t>
    </w:r>
    <w:r>
      <w:rPr>
        <w:noProof/>
      </w:rPr>
      <w:fldChar w:fldCharType="end"/>
    </w:r>
  </w:p>
  <w:p w14:paraId="27E08DF9" w14:textId="77777777" w:rsidR="00934798" w:rsidRDefault="00934798" w:rsidP="00D95D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379B" w14:textId="77777777" w:rsidR="00934798" w:rsidRDefault="00934798" w:rsidP="00D95DB1">
    <w:pPr>
      <w:pStyle w:val="Footer"/>
    </w:pPr>
    <w:bookmarkStart w:id="13" w:name="TITUS2FooterPrimary"/>
    <w:r w:rsidRPr="00D95DB1">
      <w:rPr>
        <w:color w:val="000000"/>
        <w:sz w:val="2"/>
      </w:rPr>
      <w:t> </w:t>
    </w:r>
  </w:p>
  <w:bookmarkEnd w:id="13"/>
  <w:p w14:paraId="628C0E3F" w14:textId="77777777" w:rsidR="00934798" w:rsidRDefault="00934798" w:rsidP="00D95DB1">
    <w:pPr>
      <w:pStyle w:val="Footer"/>
      <w:jc w:val="right"/>
    </w:pPr>
    <w:r>
      <w:rPr>
        <w:noProof/>
      </w:rPr>
      <w:fldChar w:fldCharType="begin"/>
    </w:r>
    <w:r>
      <w:rPr>
        <w:noProof/>
      </w:rPr>
      <w:instrText xml:space="preserve"> PAGE   \* MERGEFORMAT </w:instrText>
    </w:r>
    <w:r>
      <w:rPr>
        <w:noProof/>
      </w:rPr>
      <w:fldChar w:fldCharType="separate"/>
    </w:r>
    <w:r w:rsidR="0029408A">
      <w:rPr>
        <w:noProof/>
      </w:rPr>
      <w:t>39</w:t>
    </w:r>
    <w:r>
      <w:rPr>
        <w:noProof/>
      </w:rPr>
      <w:fldChar w:fldCharType="end"/>
    </w:r>
  </w:p>
  <w:p w14:paraId="320B7808" w14:textId="77777777" w:rsidR="00934798" w:rsidRDefault="009347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609C" w14:textId="77777777" w:rsidR="00934798" w:rsidRDefault="00934798" w:rsidP="00D95DB1">
    <w:pPr>
      <w:pStyle w:val="Footer"/>
      <w:rPr>
        <w:rFonts w:ascii="PermianSansTypeface" w:hAnsi="PermianSansTypeface"/>
        <w:color w:val="000000"/>
        <w:sz w:val="16"/>
      </w:rPr>
    </w:pPr>
    <w:bookmarkStart w:id="16" w:name="TITUS3FooterEvenPages"/>
    <w:r w:rsidRPr="00D95DB1">
      <w:rPr>
        <w:rFonts w:ascii="PermianSansTypeface" w:hAnsi="PermianSansTypeface"/>
        <w:color w:val="000000"/>
        <w:sz w:val="2"/>
      </w:rPr>
      <w:t> </w:t>
    </w:r>
  </w:p>
  <w:bookmarkEnd w:id="16"/>
  <w:p w14:paraId="62FA1A82" w14:textId="77777777" w:rsidR="00934798" w:rsidRDefault="00934798" w:rsidP="00D95DB1">
    <w:pPr>
      <w:pStyle w:val="Footer"/>
      <w:jc w:val="center"/>
    </w:pPr>
    <w:r>
      <w:rPr>
        <w:rFonts w:ascii="PermianSansTypeface" w:hAnsi="PermianSansTypeface"/>
        <w:color w:val="000000"/>
        <w:sz w:val="16"/>
      </w:rPr>
      <w:t xml:space="preserve"> </w:t>
    </w:r>
  </w:p>
  <w:p w14:paraId="2FD7E543" w14:textId="77777777" w:rsidR="00934798" w:rsidRDefault="00934798" w:rsidP="00D95DB1">
    <w:pPr>
      <w:pStyle w:val="Footer"/>
      <w:jc w:val="right"/>
    </w:pPr>
    <w:r>
      <w:rPr>
        <w:noProof/>
      </w:rPr>
      <w:fldChar w:fldCharType="begin"/>
    </w:r>
    <w:r>
      <w:rPr>
        <w:noProof/>
      </w:rPr>
      <w:instrText xml:space="preserve"> PAGE   \* MERGEFORMAT </w:instrText>
    </w:r>
    <w:r>
      <w:rPr>
        <w:noProof/>
      </w:rPr>
      <w:fldChar w:fldCharType="separate"/>
    </w:r>
    <w:r w:rsidR="0029408A">
      <w:rPr>
        <w:noProof/>
      </w:rPr>
      <w:t>46</w:t>
    </w:r>
    <w:r>
      <w:rPr>
        <w:noProof/>
      </w:rPr>
      <w:fldChar w:fldCharType="end"/>
    </w:r>
  </w:p>
  <w:p w14:paraId="088314BC" w14:textId="77777777" w:rsidR="00934798" w:rsidRDefault="00934798" w:rsidP="00D95D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A8A5" w14:textId="77777777" w:rsidR="00934798" w:rsidRDefault="00934798" w:rsidP="00D95DB1">
    <w:pPr>
      <w:pStyle w:val="Footer"/>
    </w:pPr>
    <w:bookmarkStart w:id="17" w:name="TITUS3FooterPrimary"/>
    <w:r w:rsidRPr="00D95DB1">
      <w:rPr>
        <w:color w:val="000000"/>
        <w:sz w:val="2"/>
      </w:rPr>
      <w:t> </w:t>
    </w:r>
  </w:p>
  <w:bookmarkEnd w:id="17"/>
  <w:p w14:paraId="7268B447" w14:textId="77777777" w:rsidR="00934798" w:rsidRDefault="00934798" w:rsidP="00D95DB1">
    <w:pPr>
      <w:pStyle w:val="Footer"/>
      <w:jc w:val="right"/>
    </w:pPr>
    <w:r>
      <w:rPr>
        <w:noProof/>
      </w:rPr>
      <w:fldChar w:fldCharType="begin"/>
    </w:r>
    <w:r>
      <w:rPr>
        <w:noProof/>
      </w:rPr>
      <w:instrText xml:space="preserve"> PAGE   \* MERGEFORMAT </w:instrText>
    </w:r>
    <w:r>
      <w:rPr>
        <w:noProof/>
      </w:rPr>
      <w:fldChar w:fldCharType="separate"/>
    </w:r>
    <w:r w:rsidR="0029408A">
      <w:rPr>
        <w:noProof/>
      </w:rPr>
      <w:t>47</w:t>
    </w:r>
    <w:r>
      <w:rPr>
        <w:noProof/>
      </w:rPr>
      <w:fldChar w:fldCharType="end"/>
    </w:r>
  </w:p>
  <w:p w14:paraId="35D90F0A" w14:textId="77777777" w:rsidR="00934798" w:rsidRDefault="0093479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01B7" w14:textId="77777777" w:rsidR="00934798" w:rsidRDefault="00934798" w:rsidP="00D95DB1">
    <w:pPr>
      <w:pStyle w:val="Footer"/>
      <w:rPr>
        <w:rFonts w:ascii="PermianSansTypeface" w:hAnsi="PermianSansTypeface"/>
        <w:color w:val="000000"/>
        <w:sz w:val="16"/>
      </w:rPr>
    </w:pPr>
    <w:bookmarkStart w:id="20" w:name="TITUS4FooterEvenPages"/>
    <w:r w:rsidRPr="00D95DB1">
      <w:rPr>
        <w:rFonts w:ascii="PermianSansTypeface" w:hAnsi="PermianSansTypeface"/>
        <w:color w:val="000000"/>
        <w:sz w:val="2"/>
      </w:rPr>
      <w:t> </w:t>
    </w:r>
  </w:p>
  <w:bookmarkEnd w:id="20"/>
  <w:p w14:paraId="371D9EAD" w14:textId="77777777" w:rsidR="00934798" w:rsidRDefault="00934798" w:rsidP="00D95DB1">
    <w:pPr>
      <w:pStyle w:val="Footer"/>
      <w:jc w:val="center"/>
    </w:pPr>
    <w:r>
      <w:rPr>
        <w:rFonts w:ascii="PermianSansTypeface" w:hAnsi="PermianSansTypeface"/>
        <w:color w:val="000000"/>
        <w:sz w:val="16"/>
      </w:rPr>
      <w:t xml:space="preserve"> </w:t>
    </w:r>
  </w:p>
  <w:p w14:paraId="065D1A7C" w14:textId="77777777" w:rsidR="00934798" w:rsidRDefault="00934798" w:rsidP="00D95DB1">
    <w:pPr>
      <w:pStyle w:val="Footer"/>
      <w:jc w:val="right"/>
    </w:pPr>
    <w:r>
      <w:rPr>
        <w:noProof/>
      </w:rPr>
      <w:fldChar w:fldCharType="begin"/>
    </w:r>
    <w:r>
      <w:rPr>
        <w:noProof/>
      </w:rPr>
      <w:instrText xml:space="preserve"> PAGE   \* MERGEFORMAT </w:instrText>
    </w:r>
    <w:r>
      <w:rPr>
        <w:noProof/>
      </w:rPr>
      <w:fldChar w:fldCharType="separate"/>
    </w:r>
    <w:r w:rsidR="0029408A">
      <w:rPr>
        <w:noProof/>
      </w:rPr>
      <w:t>62</w:t>
    </w:r>
    <w:r>
      <w:rPr>
        <w:noProof/>
      </w:rPr>
      <w:fldChar w:fldCharType="end"/>
    </w:r>
  </w:p>
  <w:p w14:paraId="3CCDAD09" w14:textId="77777777" w:rsidR="00934798" w:rsidRDefault="00934798" w:rsidP="00D95DB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79C4" w14:textId="77777777" w:rsidR="00934798" w:rsidRDefault="00934798" w:rsidP="00D95DB1">
    <w:pPr>
      <w:pStyle w:val="Footer"/>
    </w:pPr>
    <w:bookmarkStart w:id="21" w:name="TITUS4FooterPrimary"/>
    <w:r w:rsidRPr="00D95DB1">
      <w:rPr>
        <w:color w:val="000000"/>
        <w:sz w:val="2"/>
      </w:rPr>
      <w:t> </w:t>
    </w:r>
  </w:p>
  <w:bookmarkEnd w:id="21"/>
  <w:p w14:paraId="72B42BB7" w14:textId="77777777" w:rsidR="00934798" w:rsidRDefault="00934798" w:rsidP="00D95DB1">
    <w:pPr>
      <w:pStyle w:val="Footer"/>
      <w:jc w:val="right"/>
    </w:pPr>
    <w:r>
      <w:rPr>
        <w:noProof/>
      </w:rPr>
      <w:fldChar w:fldCharType="begin"/>
    </w:r>
    <w:r>
      <w:rPr>
        <w:noProof/>
      </w:rPr>
      <w:instrText xml:space="preserve"> PAGE   \* MERGEFORMAT </w:instrText>
    </w:r>
    <w:r>
      <w:rPr>
        <w:noProof/>
      </w:rPr>
      <w:fldChar w:fldCharType="separate"/>
    </w:r>
    <w:r w:rsidR="0029408A">
      <w:rPr>
        <w:noProof/>
      </w:rPr>
      <w:t>61</w:t>
    </w:r>
    <w:r>
      <w:rPr>
        <w:noProof/>
      </w:rPr>
      <w:fldChar w:fldCharType="end"/>
    </w:r>
  </w:p>
  <w:p w14:paraId="04FE11AE" w14:textId="77777777" w:rsidR="00934798" w:rsidRDefault="0093479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423C" w14:textId="77777777" w:rsidR="00934798" w:rsidRDefault="00934798" w:rsidP="00D95DB1">
    <w:pPr>
      <w:pStyle w:val="Footer"/>
      <w:rPr>
        <w:rFonts w:ascii="PermianSansTypeface" w:hAnsi="PermianSansTypeface"/>
        <w:color w:val="000000"/>
        <w:sz w:val="16"/>
      </w:rPr>
    </w:pPr>
    <w:bookmarkStart w:id="24" w:name="TITUS5FooterEvenPages"/>
    <w:r w:rsidRPr="00D95DB1">
      <w:rPr>
        <w:rFonts w:ascii="PermianSansTypeface" w:hAnsi="PermianSansTypeface"/>
        <w:color w:val="000000"/>
        <w:sz w:val="2"/>
      </w:rPr>
      <w:t> </w:t>
    </w:r>
  </w:p>
  <w:bookmarkEnd w:id="24"/>
  <w:p w14:paraId="7CEBBCF4" w14:textId="77777777" w:rsidR="00934798" w:rsidRPr="00C616DE" w:rsidRDefault="00934798" w:rsidP="00D95DB1">
    <w:pPr>
      <w:pStyle w:val="Footer"/>
      <w:jc w:val="center"/>
    </w:pPr>
    <w:r>
      <w:rPr>
        <w:rFonts w:ascii="PermianSansTypeface" w:hAnsi="PermianSansTypeface"/>
        <w:color w:val="000000"/>
        <w:sz w:val="16"/>
      </w:rPr>
      <w:t xml:space="preserve"> </w:t>
    </w:r>
    <w:r w:rsidRPr="00C616D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DFB5" w14:textId="77777777" w:rsidR="009D32EB" w:rsidRDefault="009D32EB" w:rsidP="004E6D8A">
      <w:pPr>
        <w:spacing w:after="0" w:line="240" w:lineRule="auto"/>
      </w:pPr>
      <w:r>
        <w:separator/>
      </w:r>
    </w:p>
  </w:footnote>
  <w:footnote w:type="continuationSeparator" w:id="0">
    <w:p w14:paraId="259CE494" w14:textId="77777777" w:rsidR="009D32EB" w:rsidRDefault="009D32EB" w:rsidP="004E6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D985" w14:textId="77777777" w:rsidR="00934798" w:rsidRDefault="00934798" w:rsidP="00D95DB1">
    <w:pPr>
      <w:pStyle w:val="Header"/>
      <w:rPr>
        <w:rFonts w:ascii="PermianSansTypeface" w:hAnsi="PermianSansTypeface"/>
        <w:color w:val="000000"/>
        <w:sz w:val="24"/>
      </w:rPr>
    </w:pPr>
    <w:bookmarkStart w:id="7" w:name="TITUS1HeaderEvenPages"/>
    <w:r w:rsidRPr="00D95DB1">
      <w:rPr>
        <w:rFonts w:ascii="PermianSansTypeface" w:hAnsi="PermianSansTypeface"/>
        <w:color w:val="000000"/>
        <w:sz w:val="2"/>
      </w:rPr>
      <w:t> </w:t>
    </w:r>
  </w:p>
  <w:bookmarkEnd w:id="7"/>
  <w:p w14:paraId="4CA77239" w14:textId="77777777" w:rsidR="00934798" w:rsidRDefault="00934798" w:rsidP="00D95DB1">
    <w:pPr>
      <w:pStyle w:val="Header"/>
      <w:jc w:val="right"/>
    </w:pPr>
    <w:r>
      <w:rPr>
        <w:rFonts w:ascii="PermianSansTypeface" w:hAnsi="PermianSansTypeface"/>
        <w:color w:val="000000"/>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09E7" w14:textId="77777777" w:rsidR="00934798" w:rsidRDefault="00934798" w:rsidP="00D95DB1">
    <w:pPr>
      <w:pStyle w:val="Header"/>
      <w:rPr>
        <w:rFonts w:ascii="PermianSansTypeface" w:hAnsi="PermianSansTypeface"/>
        <w:color w:val="000000"/>
        <w:sz w:val="24"/>
      </w:rPr>
    </w:pPr>
    <w:bookmarkStart w:id="23" w:name="TITUS5HeaderPrimary"/>
    <w:r w:rsidRPr="00D95DB1">
      <w:rPr>
        <w:rFonts w:ascii="PermianSansTypeface" w:hAnsi="PermianSansTypeface"/>
        <w:color w:val="000000"/>
        <w:sz w:val="2"/>
      </w:rPr>
      <w:t> </w:t>
    </w:r>
  </w:p>
  <w:bookmarkEnd w:id="23"/>
  <w:p w14:paraId="56EDAB99" w14:textId="77777777" w:rsidR="00934798" w:rsidRDefault="00934798" w:rsidP="00D95DB1">
    <w:pPr>
      <w:pStyle w:val="Header"/>
      <w:jc w:val="right"/>
    </w:pPr>
    <w:r>
      <w:rPr>
        <w:rFonts w:ascii="PermianSansTypeface" w:hAnsi="PermianSansTypeface"/>
        <w:color w:val="000000"/>
        <w:sz w:val="24"/>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A506" w14:textId="77777777" w:rsidR="00934798" w:rsidRDefault="0093479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8687" w14:textId="77777777" w:rsidR="00934798" w:rsidRDefault="00934798" w:rsidP="00D95DB1">
    <w:pPr>
      <w:pStyle w:val="Header"/>
      <w:rPr>
        <w:rFonts w:ascii="PermianSansTypeface" w:hAnsi="PermianSansTypeface"/>
        <w:color w:val="000000"/>
        <w:sz w:val="24"/>
      </w:rPr>
    </w:pPr>
    <w:bookmarkStart w:id="26" w:name="TITUS6HeaderEvenPages"/>
    <w:r w:rsidRPr="00D95DB1">
      <w:rPr>
        <w:rFonts w:ascii="PermianSansTypeface" w:hAnsi="PermianSansTypeface"/>
        <w:color w:val="000000"/>
        <w:sz w:val="2"/>
      </w:rPr>
      <w:t> </w:t>
    </w:r>
  </w:p>
  <w:bookmarkEnd w:id="26"/>
  <w:p w14:paraId="1F65C0B6" w14:textId="77777777" w:rsidR="00934798" w:rsidRDefault="00934798" w:rsidP="00D95DB1">
    <w:pPr>
      <w:pStyle w:val="Header"/>
      <w:jc w:val="right"/>
    </w:pPr>
    <w:r>
      <w:rPr>
        <w:rFonts w:ascii="PermianSansTypeface" w:hAnsi="PermianSansTypeface"/>
        <w:color w:val="000000"/>
        <w:sz w:val="24"/>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6B7D" w14:textId="77777777" w:rsidR="00934798" w:rsidRDefault="00934798" w:rsidP="00D95DB1">
    <w:pPr>
      <w:pStyle w:val="Header"/>
      <w:rPr>
        <w:rFonts w:ascii="PermianSansTypeface" w:hAnsi="PermianSansTypeface"/>
        <w:color w:val="000000"/>
        <w:sz w:val="24"/>
      </w:rPr>
    </w:pPr>
    <w:bookmarkStart w:id="27" w:name="TITUS6HeaderPrimary"/>
    <w:r w:rsidRPr="00D95DB1">
      <w:rPr>
        <w:rFonts w:ascii="PermianSansTypeface" w:hAnsi="PermianSansTypeface"/>
        <w:color w:val="000000"/>
        <w:sz w:val="2"/>
      </w:rPr>
      <w:t> </w:t>
    </w:r>
  </w:p>
  <w:bookmarkEnd w:id="27"/>
  <w:p w14:paraId="4C0B8422" w14:textId="77777777" w:rsidR="00934798" w:rsidRDefault="00934798" w:rsidP="00D95DB1">
    <w:pPr>
      <w:pStyle w:val="Header"/>
      <w:jc w:val="right"/>
    </w:pPr>
    <w:r>
      <w:rPr>
        <w:rFonts w:ascii="PermianSansTypeface" w:hAnsi="PermianSansTypeface"/>
        <w:color w:val="000000"/>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8164" w14:textId="77777777" w:rsidR="00934798" w:rsidRDefault="00934798" w:rsidP="00D95DB1">
    <w:pPr>
      <w:pStyle w:val="Header"/>
      <w:rPr>
        <w:rFonts w:ascii="PermianSansTypeface" w:hAnsi="PermianSansTypeface"/>
        <w:color w:val="000000"/>
        <w:sz w:val="24"/>
      </w:rPr>
    </w:pPr>
    <w:bookmarkStart w:id="8" w:name="TITUS1HeaderPrimary"/>
    <w:r w:rsidRPr="00D95DB1">
      <w:rPr>
        <w:rFonts w:ascii="PermianSansTypeface" w:hAnsi="PermianSansTypeface"/>
        <w:color w:val="000000"/>
        <w:sz w:val="2"/>
      </w:rPr>
      <w:t> </w:t>
    </w:r>
  </w:p>
  <w:bookmarkEnd w:id="8"/>
  <w:p w14:paraId="501AD569" w14:textId="77777777" w:rsidR="00934798" w:rsidRDefault="00934798" w:rsidP="00D95DB1">
    <w:pPr>
      <w:pStyle w:val="Header"/>
      <w:jc w:val="right"/>
    </w:pPr>
    <w:r>
      <w:rPr>
        <w:rFonts w:ascii="PermianSansTypeface" w:hAnsi="PermianSansTypeface"/>
        <w:color w:val="000000"/>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E1ED" w14:textId="77777777" w:rsidR="00934798" w:rsidRDefault="00934798" w:rsidP="00D95DB1">
    <w:pPr>
      <w:pStyle w:val="Header"/>
      <w:rPr>
        <w:rFonts w:ascii="PermianSansTypeface" w:hAnsi="PermianSansTypeface"/>
        <w:color w:val="000000"/>
        <w:sz w:val="24"/>
      </w:rPr>
    </w:pPr>
    <w:bookmarkStart w:id="10" w:name="TITUS2HeaderEvenPages"/>
    <w:r w:rsidRPr="00D95DB1">
      <w:rPr>
        <w:rFonts w:ascii="PermianSansTypeface" w:hAnsi="PermianSansTypeface"/>
        <w:color w:val="000000"/>
        <w:sz w:val="2"/>
      </w:rPr>
      <w:t> </w:t>
    </w:r>
  </w:p>
  <w:bookmarkEnd w:id="10"/>
  <w:p w14:paraId="6A05EFA0" w14:textId="77777777" w:rsidR="00934798" w:rsidRDefault="00934798" w:rsidP="00D95DB1">
    <w:pPr>
      <w:pStyle w:val="Header"/>
      <w:jc w:val="right"/>
    </w:pPr>
    <w:r>
      <w:rPr>
        <w:rFonts w:ascii="PermianSansTypeface" w:hAnsi="PermianSansTypeface"/>
        <w:color w:val="000000"/>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CE82" w14:textId="77777777" w:rsidR="00934798" w:rsidRDefault="00934798" w:rsidP="00D95DB1">
    <w:pPr>
      <w:pStyle w:val="Header"/>
      <w:rPr>
        <w:rFonts w:ascii="PermianSansTypeface" w:hAnsi="PermianSansTypeface"/>
        <w:color w:val="000000"/>
        <w:sz w:val="24"/>
      </w:rPr>
    </w:pPr>
    <w:bookmarkStart w:id="11" w:name="TITUS2HeaderPrimary"/>
    <w:r w:rsidRPr="00D95DB1">
      <w:rPr>
        <w:rFonts w:ascii="PermianSansTypeface" w:hAnsi="PermianSansTypeface"/>
        <w:color w:val="000000"/>
        <w:sz w:val="2"/>
      </w:rPr>
      <w:t> </w:t>
    </w:r>
  </w:p>
  <w:bookmarkEnd w:id="11"/>
  <w:p w14:paraId="2EDA2D17" w14:textId="77777777" w:rsidR="00934798" w:rsidRDefault="00934798" w:rsidP="00D95DB1">
    <w:pPr>
      <w:pStyle w:val="Header"/>
      <w:jc w:val="right"/>
    </w:pPr>
    <w:r>
      <w:rPr>
        <w:rFonts w:ascii="PermianSansTypeface" w:hAnsi="PermianSansTypeface"/>
        <w:color w:val="000000"/>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74E9" w14:textId="77777777" w:rsidR="00934798" w:rsidRDefault="00934798" w:rsidP="00D95DB1">
    <w:pPr>
      <w:pStyle w:val="Header"/>
      <w:rPr>
        <w:rFonts w:ascii="PermianSansTypeface" w:hAnsi="PermianSansTypeface"/>
        <w:color w:val="000000"/>
        <w:sz w:val="24"/>
      </w:rPr>
    </w:pPr>
    <w:bookmarkStart w:id="14" w:name="TITUS3HeaderEvenPages"/>
    <w:r w:rsidRPr="00D95DB1">
      <w:rPr>
        <w:rFonts w:ascii="PermianSansTypeface" w:hAnsi="PermianSansTypeface"/>
        <w:color w:val="000000"/>
        <w:sz w:val="2"/>
      </w:rPr>
      <w:t> </w:t>
    </w:r>
  </w:p>
  <w:bookmarkEnd w:id="14"/>
  <w:p w14:paraId="26FADE4C" w14:textId="77777777" w:rsidR="00934798" w:rsidRDefault="00934798" w:rsidP="00D95DB1">
    <w:pPr>
      <w:pStyle w:val="Header"/>
      <w:jc w:val="right"/>
    </w:pPr>
    <w:r>
      <w:rPr>
        <w:rFonts w:ascii="PermianSansTypeface" w:hAnsi="PermianSansTypeface"/>
        <w:color w:val="000000"/>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611A" w14:textId="77777777" w:rsidR="00934798" w:rsidRDefault="00934798" w:rsidP="00D95DB1">
    <w:pPr>
      <w:pStyle w:val="Header"/>
      <w:rPr>
        <w:rFonts w:ascii="PermianSansTypeface" w:hAnsi="PermianSansTypeface"/>
        <w:color w:val="000000"/>
        <w:sz w:val="24"/>
      </w:rPr>
    </w:pPr>
    <w:bookmarkStart w:id="15" w:name="TITUS3HeaderPrimary"/>
    <w:r w:rsidRPr="00D95DB1">
      <w:rPr>
        <w:rFonts w:ascii="PermianSansTypeface" w:hAnsi="PermianSansTypeface"/>
        <w:color w:val="000000"/>
        <w:sz w:val="2"/>
      </w:rPr>
      <w:t> </w:t>
    </w:r>
  </w:p>
  <w:bookmarkEnd w:id="15"/>
  <w:p w14:paraId="4C5E0A72" w14:textId="77777777" w:rsidR="00934798" w:rsidRDefault="00934798" w:rsidP="00D95DB1">
    <w:pPr>
      <w:pStyle w:val="Header"/>
      <w:jc w:val="right"/>
    </w:pPr>
    <w:r>
      <w:rPr>
        <w:rFonts w:ascii="PermianSansTypeface" w:hAnsi="PermianSansTypeface"/>
        <w:color w:val="000000"/>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D8AE" w14:textId="77777777" w:rsidR="00934798" w:rsidRDefault="00934798" w:rsidP="00D95DB1">
    <w:pPr>
      <w:pStyle w:val="Header"/>
      <w:rPr>
        <w:rFonts w:ascii="PermianSansTypeface" w:hAnsi="PermianSansTypeface"/>
        <w:color w:val="000000"/>
        <w:sz w:val="24"/>
      </w:rPr>
    </w:pPr>
    <w:bookmarkStart w:id="18" w:name="TITUS4HeaderEvenPages"/>
    <w:r w:rsidRPr="00D95DB1">
      <w:rPr>
        <w:rFonts w:ascii="PermianSansTypeface" w:hAnsi="PermianSansTypeface"/>
        <w:color w:val="000000"/>
        <w:sz w:val="2"/>
      </w:rPr>
      <w:t> </w:t>
    </w:r>
  </w:p>
  <w:bookmarkEnd w:id="18"/>
  <w:p w14:paraId="21227889" w14:textId="77777777" w:rsidR="00934798" w:rsidRDefault="00934798" w:rsidP="00D95DB1">
    <w:pPr>
      <w:pStyle w:val="Header"/>
      <w:jc w:val="right"/>
    </w:pPr>
    <w:r>
      <w:rPr>
        <w:rFonts w:ascii="PermianSansTypeface" w:hAnsi="PermianSansTypeface"/>
        <w:color w:val="000000"/>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08A7" w14:textId="77777777" w:rsidR="00934798" w:rsidRDefault="00934798" w:rsidP="00D95DB1">
    <w:pPr>
      <w:pStyle w:val="Header"/>
      <w:rPr>
        <w:rFonts w:ascii="PermianSansTypeface" w:hAnsi="PermianSansTypeface"/>
        <w:color w:val="000000"/>
        <w:sz w:val="24"/>
      </w:rPr>
    </w:pPr>
    <w:bookmarkStart w:id="19" w:name="TITUS4HeaderPrimary"/>
    <w:r w:rsidRPr="00D95DB1">
      <w:rPr>
        <w:rFonts w:ascii="PermianSansTypeface" w:hAnsi="PermianSansTypeface"/>
        <w:color w:val="000000"/>
        <w:sz w:val="2"/>
      </w:rPr>
      <w:t> </w:t>
    </w:r>
  </w:p>
  <w:bookmarkEnd w:id="19"/>
  <w:p w14:paraId="1A03D193" w14:textId="77777777" w:rsidR="00934798" w:rsidRDefault="00934798" w:rsidP="00D95DB1">
    <w:pPr>
      <w:pStyle w:val="Header"/>
      <w:jc w:val="right"/>
    </w:pPr>
    <w:r>
      <w:rPr>
        <w:rFonts w:ascii="PermianSansTypeface" w:hAnsi="PermianSansTypeface"/>
        <w:color w:val="000000"/>
        <w:sz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E366" w14:textId="77777777" w:rsidR="00934798" w:rsidRDefault="00934798" w:rsidP="00D95DB1">
    <w:pPr>
      <w:pStyle w:val="Header"/>
      <w:rPr>
        <w:rFonts w:ascii="PermianSansTypeface" w:hAnsi="PermianSansTypeface"/>
        <w:color w:val="000000"/>
        <w:sz w:val="24"/>
      </w:rPr>
    </w:pPr>
    <w:bookmarkStart w:id="22" w:name="TITUS5HeaderEvenPages"/>
    <w:r w:rsidRPr="00D95DB1">
      <w:rPr>
        <w:rFonts w:ascii="PermianSansTypeface" w:hAnsi="PermianSansTypeface"/>
        <w:color w:val="000000"/>
        <w:sz w:val="2"/>
      </w:rPr>
      <w:t> </w:t>
    </w:r>
  </w:p>
  <w:bookmarkEnd w:id="22"/>
  <w:p w14:paraId="33A0A822" w14:textId="77777777" w:rsidR="00934798" w:rsidRDefault="00934798" w:rsidP="00D95DB1">
    <w:pPr>
      <w:pStyle w:val="Header"/>
      <w:jc w:val="right"/>
    </w:pPr>
    <w:r>
      <w:rPr>
        <w:rFonts w:ascii="PermianSansTypeface" w:hAnsi="PermianSansTypeface"/>
        <w:color w:val="000000"/>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4610"/>
    <w:multiLevelType w:val="hybridMultilevel"/>
    <w:tmpl w:val="5194EEF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FAA14D4"/>
    <w:multiLevelType w:val="hybridMultilevel"/>
    <w:tmpl w:val="8612FD94"/>
    <w:lvl w:ilvl="0" w:tplc="38626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5B57B9"/>
    <w:multiLevelType w:val="hybridMultilevel"/>
    <w:tmpl w:val="267E22B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605F1"/>
    <w:multiLevelType w:val="hybridMultilevel"/>
    <w:tmpl w:val="27EA8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F6C03"/>
    <w:multiLevelType w:val="hybridMultilevel"/>
    <w:tmpl w:val="1A020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324B8"/>
    <w:multiLevelType w:val="hybridMultilevel"/>
    <w:tmpl w:val="0DE0BE46"/>
    <w:lvl w:ilvl="0" w:tplc="04090011">
      <w:start w:val="1"/>
      <w:numFmt w:val="decimal"/>
      <w:lvlText w:val="%1)"/>
      <w:lvlJc w:val="left"/>
      <w:pPr>
        <w:ind w:left="720" w:hanging="360"/>
      </w:pPr>
      <w:rPr>
        <w:rFonts w:hint="default"/>
      </w:rPr>
    </w:lvl>
    <w:lvl w:ilvl="1" w:tplc="F5BA7762">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E433C"/>
    <w:multiLevelType w:val="hybridMultilevel"/>
    <w:tmpl w:val="12A0D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F5C9E"/>
    <w:multiLevelType w:val="hybridMultilevel"/>
    <w:tmpl w:val="A9E2E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140CC"/>
    <w:multiLevelType w:val="hybridMultilevel"/>
    <w:tmpl w:val="4A4491A0"/>
    <w:lvl w:ilvl="0" w:tplc="7B0297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D0D2AF5"/>
    <w:multiLevelType w:val="hybridMultilevel"/>
    <w:tmpl w:val="2E48F1B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B7F7A"/>
    <w:multiLevelType w:val="hybridMultilevel"/>
    <w:tmpl w:val="82D0DC5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EC034C"/>
    <w:multiLevelType w:val="hybridMultilevel"/>
    <w:tmpl w:val="985EDBC0"/>
    <w:lvl w:ilvl="0" w:tplc="49F0EE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F45306"/>
    <w:multiLevelType w:val="hybridMultilevel"/>
    <w:tmpl w:val="A5FC3D52"/>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3DE26A7"/>
    <w:multiLevelType w:val="hybridMultilevel"/>
    <w:tmpl w:val="9CD4D922"/>
    <w:lvl w:ilvl="0" w:tplc="05B674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51766"/>
    <w:multiLevelType w:val="hybridMultilevel"/>
    <w:tmpl w:val="1534E2F0"/>
    <w:lvl w:ilvl="0" w:tplc="967C8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1E7C13"/>
    <w:multiLevelType w:val="hybridMultilevel"/>
    <w:tmpl w:val="87C4DBDA"/>
    <w:lvl w:ilvl="0" w:tplc="1FF8BCC4">
      <w:start w:val="1"/>
      <w:numFmt w:val="decimal"/>
      <w:lvlText w:val="%1)"/>
      <w:lvlJc w:val="left"/>
      <w:pPr>
        <w:ind w:left="720" w:hanging="360"/>
      </w:pPr>
      <w:rPr>
        <w:rFonts w:hint="default"/>
      </w:rPr>
    </w:lvl>
    <w:lvl w:ilvl="1" w:tplc="04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183DA6"/>
    <w:multiLevelType w:val="hybridMultilevel"/>
    <w:tmpl w:val="3BE42C68"/>
    <w:lvl w:ilvl="0" w:tplc="06AA21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E43AEE"/>
    <w:multiLevelType w:val="hybridMultilevel"/>
    <w:tmpl w:val="F2B83F1A"/>
    <w:lvl w:ilvl="0" w:tplc="0409000F">
      <w:start w:val="1"/>
      <w:numFmt w:val="decimal"/>
      <w:lvlText w:val="%1."/>
      <w:lvlJc w:val="left"/>
      <w:pPr>
        <w:ind w:left="1287" w:hanging="360"/>
      </w:pPr>
    </w:lvl>
    <w:lvl w:ilvl="1" w:tplc="3CE46E7E">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F917D84"/>
    <w:multiLevelType w:val="hybridMultilevel"/>
    <w:tmpl w:val="2A1AA056"/>
    <w:lvl w:ilvl="0" w:tplc="483A44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C006C8"/>
    <w:multiLevelType w:val="hybridMultilevel"/>
    <w:tmpl w:val="0408FBE8"/>
    <w:lvl w:ilvl="0" w:tplc="04090011">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3246580F"/>
    <w:multiLevelType w:val="hybridMultilevel"/>
    <w:tmpl w:val="2DD0CFBC"/>
    <w:lvl w:ilvl="0" w:tplc="C3004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5F20A3"/>
    <w:multiLevelType w:val="hybridMultilevel"/>
    <w:tmpl w:val="A438765C"/>
    <w:lvl w:ilvl="0" w:tplc="53DC87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565145C"/>
    <w:multiLevelType w:val="hybridMultilevel"/>
    <w:tmpl w:val="2DEC179A"/>
    <w:lvl w:ilvl="0" w:tplc="BAAE1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6729A7"/>
    <w:multiLevelType w:val="hybridMultilevel"/>
    <w:tmpl w:val="4B3A5288"/>
    <w:lvl w:ilvl="0" w:tplc="44A2790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405AC"/>
    <w:multiLevelType w:val="hybridMultilevel"/>
    <w:tmpl w:val="9F26D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10268E"/>
    <w:multiLevelType w:val="hybridMultilevel"/>
    <w:tmpl w:val="9418D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D94249"/>
    <w:multiLevelType w:val="hybridMultilevel"/>
    <w:tmpl w:val="7EEA5AAC"/>
    <w:lvl w:ilvl="0" w:tplc="967C8EE2">
      <w:start w:val="1"/>
      <w:numFmt w:val="decimal"/>
      <w:lvlText w:val="%1)"/>
      <w:lvlJc w:val="left"/>
      <w:pPr>
        <w:ind w:left="1287" w:hanging="360"/>
      </w:pPr>
      <w:rPr>
        <w:rFonts w:hint="default"/>
      </w:rPr>
    </w:lvl>
    <w:lvl w:ilvl="1" w:tplc="04090011">
      <w:start w:val="1"/>
      <w:numFmt w:val="decimal"/>
      <w:lvlText w:val="%2)"/>
      <w:lvlJc w:val="left"/>
      <w:pPr>
        <w:ind w:left="1352"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D74482F"/>
    <w:multiLevelType w:val="hybridMultilevel"/>
    <w:tmpl w:val="89F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BE582D"/>
    <w:multiLevelType w:val="hybridMultilevel"/>
    <w:tmpl w:val="E236E398"/>
    <w:lvl w:ilvl="0" w:tplc="260E6BAA">
      <w:numFmt w:val="bullet"/>
      <w:lvlText w:val="-"/>
      <w:lvlJc w:val="left"/>
      <w:pPr>
        <w:ind w:left="502"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2255682"/>
    <w:multiLevelType w:val="hybridMultilevel"/>
    <w:tmpl w:val="15D0102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493027D"/>
    <w:multiLevelType w:val="hybridMultilevel"/>
    <w:tmpl w:val="2D72E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970F5D"/>
    <w:multiLevelType w:val="hybridMultilevel"/>
    <w:tmpl w:val="33B895E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9F2C63"/>
    <w:multiLevelType w:val="hybridMultilevel"/>
    <w:tmpl w:val="1C8C85E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667E04"/>
    <w:multiLevelType w:val="hybridMultilevel"/>
    <w:tmpl w:val="7730E74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6C23E66"/>
    <w:multiLevelType w:val="hybridMultilevel"/>
    <w:tmpl w:val="45EA8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AE1B22"/>
    <w:multiLevelType w:val="hybridMultilevel"/>
    <w:tmpl w:val="3A8456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A7648B0"/>
    <w:multiLevelType w:val="hybridMultilevel"/>
    <w:tmpl w:val="8F900A48"/>
    <w:lvl w:ilvl="0" w:tplc="0409000F">
      <w:start w:val="1"/>
      <w:numFmt w:val="decimal"/>
      <w:lvlText w:val="%1."/>
      <w:lvlJc w:val="left"/>
      <w:pPr>
        <w:ind w:left="720" w:hanging="360"/>
      </w:pPr>
    </w:lvl>
    <w:lvl w:ilvl="1" w:tplc="967C8E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3837E1"/>
    <w:multiLevelType w:val="hybridMultilevel"/>
    <w:tmpl w:val="09AEAF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8D26EA"/>
    <w:multiLevelType w:val="hybridMultilevel"/>
    <w:tmpl w:val="489ACAF0"/>
    <w:lvl w:ilvl="0" w:tplc="5BDEE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4C67E69"/>
    <w:multiLevelType w:val="hybridMultilevel"/>
    <w:tmpl w:val="A39AEDBA"/>
    <w:lvl w:ilvl="0" w:tplc="04090017">
      <w:start w:val="1"/>
      <w:numFmt w:val="lowerLetter"/>
      <w:lvlText w:val="%1)"/>
      <w:lvlJc w:val="left"/>
      <w:pPr>
        <w:ind w:left="720" w:hanging="360"/>
      </w:pPr>
    </w:lvl>
    <w:lvl w:ilvl="1" w:tplc="04090011">
      <w:start w:val="1"/>
      <w:numFmt w:val="decimal"/>
      <w:lvlText w:val="%2)"/>
      <w:lvlJc w:val="left"/>
      <w:pPr>
        <w:ind w:left="1440" w:hanging="360"/>
      </w:pPr>
      <w:rPr>
        <w:rFonts w:hint="default"/>
      </w:rPr>
    </w:lvl>
    <w:lvl w:ilvl="2" w:tplc="6980AF9C">
      <w:start w:val="1"/>
      <w:numFmt w:val="decimal"/>
      <w:lvlText w:val="%3)"/>
      <w:lvlJc w:val="left"/>
      <w:pPr>
        <w:ind w:left="2340" w:hanging="360"/>
      </w:pPr>
      <w:rPr>
        <w:rFonts w:hint="default"/>
      </w:rPr>
    </w:lvl>
    <w:lvl w:ilvl="3" w:tplc="6194EDC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D553CB"/>
    <w:multiLevelType w:val="hybridMultilevel"/>
    <w:tmpl w:val="131437E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FE1A87"/>
    <w:multiLevelType w:val="hybridMultilevel"/>
    <w:tmpl w:val="B3543BC6"/>
    <w:lvl w:ilvl="0" w:tplc="04090011">
      <w:start w:val="1"/>
      <w:numFmt w:val="decimal"/>
      <w:lvlText w:val="%1)"/>
      <w:lvlJc w:val="left"/>
      <w:pPr>
        <w:ind w:left="1287" w:hanging="360"/>
      </w:pPr>
    </w:lvl>
    <w:lvl w:ilvl="1" w:tplc="1A161346">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5DE90F8B"/>
    <w:multiLevelType w:val="hybridMultilevel"/>
    <w:tmpl w:val="1C8C85E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A22112"/>
    <w:multiLevelType w:val="hybridMultilevel"/>
    <w:tmpl w:val="D49A9F0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D97736"/>
    <w:multiLevelType w:val="hybridMultilevel"/>
    <w:tmpl w:val="646A95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AC770B"/>
    <w:multiLevelType w:val="hybridMultilevel"/>
    <w:tmpl w:val="D4D6AC08"/>
    <w:lvl w:ilvl="0" w:tplc="C15450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67B399E"/>
    <w:multiLevelType w:val="hybridMultilevel"/>
    <w:tmpl w:val="04BE3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B30C50"/>
    <w:multiLevelType w:val="hybridMultilevel"/>
    <w:tmpl w:val="67664310"/>
    <w:lvl w:ilvl="0" w:tplc="0409000F">
      <w:start w:val="1"/>
      <w:numFmt w:val="decimal"/>
      <w:lvlText w:val="%1."/>
      <w:lvlJc w:val="left"/>
      <w:pPr>
        <w:ind w:left="720" w:hanging="360"/>
      </w:pPr>
    </w:lvl>
    <w:lvl w:ilvl="1" w:tplc="C11844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2E527D"/>
    <w:multiLevelType w:val="hybridMultilevel"/>
    <w:tmpl w:val="768447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185CE2"/>
    <w:multiLevelType w:val="hybridMultilevel"/>
    <w:tmpl w:val="276A7D5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15:restartNumberingAfterBreak="0">
    <w:nsid w:val="6B71137E"/>
    <w:multiLevelType w:val="hybridMultilevel"/>
    <w:tmpl w:val="F32EE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BD0E50"/>
    <w:multiLevelType w:val="hybridMultilevel"/>
    <w:tmpl w:val="D23272B8"/>
    <w:lvl w:ilvl="0" w:tplc="04090017">
      <w:start w:val="1"/>
      <w:numFmt w:val="lowerLetter"/>
      <w:lvlText w:val="%1)"/>
      <w:lvlJc w:val="left"/>
      <w:pPr>
        <w:ind w:left="720" w:hanging="360"/>
      </w:pPr>
    </w:lvl>
    <w:lvl w:ilvl="1" w:tplc="4E962AE0">
      <w:start w:val="1"/>
      <w:numFmt w:val="lowerLetter"/>
      <w:lvlText w:val="%2)"/>
      <w:lvlJc w:val="left"/>
      <w:pPr>
        <w:ind w:left="1440" w:hanging="360"/>
      </w:pPr>
      <w:rPr>
        <w:rFonts w:hint="default"/>
      </w:rPr>
    </w:lvl>
    <w:lvl w:ilvl="2" w:tplc="6980AF9C">
      <w:start w:val="1"/>
      <w:numFmt w:val="decimal"/>
      <w:lvlText w:val="%3)"/>
      <w:lvlJc w:val="left"/>
      <w:pPr>
        <w:ind w:left="2340" w:hanging="360"/>
      </w:pPr>
      <w:rPr>
        <w:rFonts w:hint="default"/>
      </w:rPr>
    </w:lvl>
    <w:lvl w:ilvl="3" w:tplc="6194EDC6">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B554C4"/>
    <w:multiLevelType w:val="hybridMultilevel"/>
    <w:tmpl w:val="4940729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F07FE3"/>
    <w:multiLevelType w:val="hybridMultilevel"/>
    <w:tmpl w:val="163676FA"/>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15:restartNumberingAfterBreak="0">
    <w:nsid w:val="74274CC9"/>
    <w:multiLevelType w:val="hybridMultilevel"/>
    <w:tmpl w:val="7CC87064"/>
    <w:lvl w:ilvl="0" w:tplc="D0701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6A26CC1"/>
    <w:multiLevelType w:val="hybridMultilevel"/>
    <w:tmpl w:val="F5BCE8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6C5477B"/>
    <w:multiLevelType w:val="hybridMultilevel"/>
    <w:tmpl w:val="D9423F6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7A501259"/>
    <w:multiLevelType w:val="hybridMultilevel"/>
    <w:tmpl w:val="4282F0F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CCD1886"/>
    <w:multiLevelType w:val="hybridMultilevel"/>
    <w:tmpl w:val="A0DCB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902F54"/>
    <w:multiLevelType w:val="hybridMultilevel"/>
    <w:tmpl w:val="2A1AA056"/>
    <w:lvl w:ilvl="0" w:tplc="483A44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675690"/>
    <w:multiLevelType w:val="hybridMultilevel"/>
    <w:tmpl w:val="585E82DA"/>
    <w:lvl w:ilvl="0" w:tplc="967C8EE2">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380742768">
    <w:abstractNumId w:val="59"/>
  </w:num>
  <w:num w:numId="2" w16cid:durableId="2025394354">
    <w:abstractNumId w:val="14"/>
  </w:num>
  <w:num w:numId="3" w16cid:durableId="551307943">
    <w:abstractNumId w:val="18"/>
  </w:num>
  <w:num w:numId="4" w16cid:durableId="701051864">
    <w:abstractNumId w:val="20"/>
  </w:num>
  <w:num w:numId="5" w16cid:durableId="397292431">
    <w:abstractNumId w:val="38"/>
  </w:num>
  <w:num w:numId="6" w16cid:durableId="772676690">
    <w:abstractNumId w:val="22"/>
  </w:num>
  <w:num w:numId="7" w16cid:durableId="795417130">
    <w:abstractNumId w:val="45"/>
  </w:num>
  <w:num w:numId="8" w16cid:durableId="2006204803">
    <w:abstractNumId w:val="11"/>
  </w:num>
  <w:num w:numId="9" w16cid:durableId="2143888899">
    <w:abstractNumId w:val="46"/>
  </w:num>
  <w:num w:numId="10" w16cid:durableId="1859154392">
    <w:abstractNumId w:val="24"/>
  </w:num>
  <w:num w:numId="11" w16cid:durableId="727412249">
    <w:abstractNumId w:val="28"/>
  </w:num>
  <w:num w:numId="12" w16cid:durableId="2124954319">
    <w:abstractNumId w:val="17"/>
  </w:num>
  <w:num w:numId="13" w16cid:durableId="1243224052">
    <w:abstractNumId w:val="8"/>
  </w:num>
  <w:num w:numId="14" w16cid:durableId="292712691">
    <w:abstractNumId w:val="47"/>
  </w:num>
  <w:num w:numId="15" w16cid:durableId="2066564359">
    <w:abstractNumId w:val="55"/>
  </w:num>
  <w:num w:numId="16" w16cid:durableId="1504929671">
    <w:abstractNumId w:val="35"/>
  </w:num>
  <w:num w:numId="17" w16cid:durableId="14579444">
    <w:abstractNumId w:val="57"/>
  </w:num>
  <w:num w:numId="18" w16cid:durableId="945842825">
    <w:abstractNumId w:val="51"/>
  </w:num>
  <w:num w:numId="19" w16cid:durableId="1493523578">
    <w:abstractNumId w:val="39"/>
  </w:num>
  <w:num w:numId="20" w16cid:durableId="1978602411">
    <w:abstractNumId w:val="36"/>
  </w:num>
  <w:num w:numId="21" w16cid:durableId="873689787">
    <w:abstractNumId w:val="53"/>
  </w:num>
  <w:num w:numId="22" w16cid:durableId="1099064974">
    <w:abstractNumId w:val="33"/>
  </w:num>
  <w:num w:numId="23" w16cid:durableId="297954565">
    <w:abstractNumId w:val="10"/>
  </w:num>
  <w:num w:numId="24" w16cid:durableId="563223892">
    <w:abstractNumId w:val="56"/>
  </w:num>
  <w:num w:numId="25" w16cid:durableId="1440877820">
    <w:abstractNumId w:val="0"/>
  </w:num>
  <w:num w:numId="26" w16cid:durableId="1668823459">
    <w:abstractNumId w:val="4"/>
  </w:num>
  <w:num w:numId="27" w16cid:durableId="1619605310">
    <w:abstractNumId w:val="29"/>
  </w:num>
  <w:num w:numId="28" w16cid:durableId="352847800">
    <w:abstractNumId w:val="19"/>
  </w:num>
  <w:num w:numId="29" w16cid:durableId="1586912123">
    <w:abstractNumId w:val="23"/>
  </w:num>
  <w:num w:numId="30" w16cid:durableId="1491016302">
    <w:abstractNumId w:val="9"/>
  </w:num>
  <w:num w:numId="31" w16cid:durableId="533736571">
    <w:abstractNumId w:val="58"/>
  </w:num>
  <w:num w:numId="32" w16cid:durableId="440149488">
    <w:abstractNumId w:val="52"/>
  </w:num>
  <w:num w:numId="33" w16cid:durableId="855922126">
    <w:abstractNumId w:val="2"/>
  </w:num>
  <w:num w:numId="34" w16cid:durableId="282005333">
    <w:abstractNumId w:val="1"/>
  </w:num>
  <w:num w:numId="35" w16cid:durableId="1868449410">
    <w:abstractNumId w:val="16"/>
  </w:num>
  <w:num w:numId="36" w16cid:durableId="503057280">
    <w:abstractNumId w:val="50"/>
  </w:num>
  <w:num w:numId="37" w16cid:durableId="1842893626">
    <w:abstractNumId w:val="27"/>
  </w:num>
  <w:num w:numId="38" w16cid:durableId="507448382">
    <w:abstractNumId w:val="13"/>
  </w:num>
  <w:num w:numId="39" w16cid:durableId="1383947972">
    <w:abstractNumId w:val="54"/>
  </w:num>
  <w:num w:numId="40" w16cid:durableId="1184629287">
    <w:abstractNumId w:val="5"/>
  </w:num>
  <w:num w:numId="41" w16cid:durableId="1058355491">
    <w:abstractNumId w:val="30"/>
  </w:num>
  <w:num w:numId="42" w16cid:durableId="840317720">
    <w:abstractNumId w:val="7"/>
  </w:num>
  <w:num w:numId="43" w16cid:durableId="1160081441">
    <w:abstractNumId w:val="15"/>
  </w:num>
  <w:num w:numId="44" w16cid:durableId="2105756730">
    <w:abstractNumId w:val="31"/>
  </w:num>
  <w:num w:numId="45" w16cid:durableId="532306331">
    <w:abstractNumId w:val="25"/>
  </w:num>
  <w:num w:numId="46" w16cid:durableId="1553928775">
    <w:abstractNumId w:val="40"/>
  </w:num>
  <w:num w:numId="47" w16cid:durableId="1856382532">
    <w:abstractNumId w:val="6"/>
  </w:num>
  <w:num w:numId="48" w16cid:durableId="1107578361">
    <w:abstractNumId w:val="37"/>
  </w:num>
  <w:num w:numId="49" w16cid:durableId="94328823">
    <w:abstractNumId w:val="32"/>
  </w:num>
  <w:num w:numId="50" w16cid:durableId="1943604996">
    <w:abstractNumId w:val="48"/>
  </w:num>
  <w:num w:numId="51" w16cid:durableId="1233464905">
    <w:abstractNumId w:val="42"/>
  </w:num>
  <w:num w:numId="52" w16cid:durableId="1556700156">
    <w:abstractNumId w:val="44"/>
  </w:num>
  <w:num w:numId="53" w16cid:durableId="610090732">
    <w:abstractNumId w:val="43"/>
  </w:num>
  <w:num w:numId="54" w16cid:durableId="439687253">
    <w:abstractNumId w:val="3"/>
  </w:num>
  <w:num w:numId="55" w16cid:durableId="720784447">
    <w:abstractNumId w:val="60"/>
  </w:num>
  <w:num w:numId="56" w16cid:durableId="1585870316">
    <w:abstractNumId w:val="26"/>
  </w:num>
  <w:num w:numId="57" w16cid:durableId="768282269">
    <w:abstractNumId w:val="12"/>
  </w:num>
  <w:num w:numId="58" w16cid:durableId="1330403476">
    <w:abstractNumId w:val="41"/>
  </w:num>
  <w:num w:numId="59" w16cid:durableId="1809863112">
    <w:abstractNumId w:val="49"/>
  </w:num>
  <w:num w:numId="60" w16cid:durableId="446969221">
    <w:abstractNumId w:val="21"/>
  </w:num>
  <w:num w:numId="61" w16cid:durableId="2077782264">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D8A"/>
    <w:rsid w:val="00000AB6"/>
    <w:rsid w:val="00000B5B"/>
    <w:rsid w:val="000010F2"/>
    <w:rsid w:val="000015E0"/>
    <w:rsid w:val="00002E62"/>
    <w:rsid w:val="000030DB"/>
    <w:rsid w:val="000102B9"/>
    <w:rsid w:val="00011F3A"/>
    <w:rsid w:val="0001274E"/>
    <w:rsid w:val="00012F0B"/>
    <w:rsid w:val="0001524F"/>
    <w:rsid w:val="0001552C"/>
    <w:rsid w:val="00017114"/>
    <w:rsid w:val="00020125"/>
    <w:rsid w:val="00023219"/>
    <w:rsid w:val="00030B69"/>
    <w:rsid w:val="000318DC"/>
    <w:rsid w:val="000320DD"/>
    <w:rsid w:val="0003280E"/>
    <w:rsid w:val="00036203"/>
    <w:rsid w:val="0003758F"/>
    <w:rsid w:val="0004073A"/>
    <w:rsid w:val="000407A4"/>
    <w:rsid w:val="00040A6A"/>
    <w:rsid w:val="000417A8"/>
    <w:rsid w:val="000432EA"/>
    <w:rsid w:val="000440D4"/>
    <w:rsid w:val="000454D7"/>
    <w:rsid w:val="0004646C"/>
    <w:rsid w:val="00046B02"/>
    <w:rsid w:val="0004761E"/>
    <w:rsid w:val="00050B3C"/>
    <w:rsid w:val="00052E60"/>
    <w:rsid w:val="000534B0"/>
    <w:rsid w:val="0005464A"/>
    <w:rsid w:val="00054FDE"/>
    <w:rsid w:val="00057ACF"/>
    <w:rsid w:val="00060560"/>
    <w:rsid w:val="000606E5"/>
    <w:rsid w:val="0006338D"/>
    <w:rsid w:val="0006427B"/>
    <w:rsid w:val="00065706"/>
    <w:rsid w:val="0006574B"/>
    <w:rsid w:val="00065D12"/>
    <w:rsid w:val="00073CBA"/>
    <w:rsid w:val="00074C65"/>
    <w:rsid w:val="00080D2A"/>
    <w:rsid w:val="00092DBE"/>
    <w:rsid w:val="00093958"/>
    <w:rsid w:val="00093E2B"/>
    <w:rsid w:val="00095FF1"/>
    <w:rsid w:val="00097E98"/>
    <w:rsid w:val="000A032C"/>
    <w:rsid w:val="000A15C8"/>
    <w:rsid w:val="000A4058"/>
    <w:rsid w:val="000A4648"/>
    <w:rsid w:val="000A5797"/>
    <w:rsid w:val="000B0484"/>
    <w:rsid w:val="000B126F"/>
    <w:rsid w:val="000B2DF2"/>
    <w:rsid w:val="000B417A"/>
    <w:rsid w:val="000B4437"/>
    <w:rsid w:val="000B499B"/>
    <w:rsid w:val="000B5901"/>
    <w:rsid w:val="000B60BF"/>
    <w:rsid w:val="000B649A"/>
    <w:rsid w:val="000B7A43"/>
    <w:rsid w:val="000B7C93"/>
    <w:rsid w:val="000C32C3"/>
    <w:rsid w:val="000C481F"/>
    <w:rsid w:val="000D01BA"/>
    <w:rsid w:val="000D0FC1"/>
    <w:rsid w:val="000D1C1F"/>
    <w:rsid w:val="000D4A2D"/>
    <w:rsid w:val="000D5943"/>
    <w:rsid w:val="000D5984"/>
    <w:rsid w:val="000D5A8F"/>
    <w:rsid w:val="000D6B75"/>
    <w:rsid w:val="000E107A"/>
    <w:rsid w:val="000E1B8B"/>
    <w:rsid w:val="000E26A9"/>
    <w:rsid w:val="000E36EC"/>
    <w:rsid w:val="000E45B0"/>
    <w:rsid w:val="000E5C49"/>
    <w:rsid w:val="000F1B25"/>
    <w:rsid w:val="000F2B3E"/>
    <w:rsid w:val="000F41E8"/>
    <w:rsid w:val="000F4A8C"/>
    <w:rsid w:val="000F6E59"/>
    <w:rsid w:val="000F785C"/>
    <w:rsid w:val="001001DE"/>
    <w:rsid w:val="001016F6"/>
    <w:rsid w:val="00102C6C"/>
    <w:rsid w:val="0010443E"/>
    <w:rsid w:val="00105E59"/>
    <w:rsid w:val="0011093B"/>
    <w:rsid w:val="00110ACE"/>
    <w:rsid w:val="00110FC1"/>
    <w:rsid w:val="00112094"/>
    <w:rsid w:val="00113C6B"/>
    <w:rsid w:val="00117403"/>
    <w:rsid w:val="00117F25"/>
    <w:rsid w:val="001218F3"/>
    <w:rsid w:val="00122123"/>
    <w:rsid w:val="00123737"/>
    <w:rsid w:val="00123DF8"/>
    <w:rsid w:val="0012488B"/>
    <w:rsid w:val="001300C2"/>
    <w:rsid w:val="00130B2D"/>
    <w:rsid w:val="00130E88"/>
    <w:rsid w:val="00131E1B"/>
    <w:rsid w:val="00133F49"/>
    <w:rsid w:val="00134020"/>
    <w:rsid w:val="00134CF2"/>
    <w:rsid w:val="00135C0F"/>
    <w:rsid w:val="0013627E"/>
    <w:rsid w:val="001378F7"/>
    <w:rsid w:val="00137E6F"/>
    <w:rsid w:val="001412CF"/>
    <w:rsid w:val="00141EE0"/>
    <w:rsid w:val="00142733"/>
    <w:rsid w:val="001428BA"/>
    <w:rsid w:val="001428C7"/>
    <w:rsid w:val="00143837"/>
    <w:rsid w:val="00144BB2"/>
    <w:rsid w:val="00147061"/>
    <w:rsid w:val="00147108"/>
    <w:rsid w:val="0014730A"/>
    <w:rsid w:val="00152621"/>
    <w:rsid w:val="0015321A"/>
    <w:rsid w:val="001537D9"/>
    <w:rsid w:val="00154569"/>
    <w:rsid w:val="00154D1B"/>
    <w:rsid w:val="00155109"/>
    <w:rsid w:val="001555AF"/>
    <w:rsid w:val="001556D6"/>
    <w:rsid w:val="0016036B"/>
    <w:rsid w:val="00160CB7"/>
    <w:rsid w:val="00160D79"/>
    <w:rsid w:val="00163D27"/>
    <w:rsid w:val="00163F1A"/>
    <w:rsid w:val="00166F72"/>
    <w:rsid w:val="00173CC0"/>
    <w:rsid w:val="0017417E"/>
    <w:rsid w:val="001759DD"/>
    <w:rsid w:val="00175F22"/>
    <w:rsid w:val="00180AF7"/>
    <w:rsid w:val="001811BF"/>
    <w:rsid w:val="00183E2C"/>
    <w:rsid w:val="00183F82"/>
    <w:rsid w:val="00184F17"/>
    <w:rsid w:val="00185864"/>
    <w:rsid w:val="00187040"/>
    <w:rsid w:val="00190B87"/>
    <w:rsid w:val="00192A70"/>
    <w:rsid w:val="00193C35"/>
    <w:rsid w:val="001A64BD"/>
    <w:rsid w:val="001A75A0"/>
    <w:rsid w:val="001B226E"/>
    <w:rsid w:val="001B367C"/>
    <w:rsid w:val="001B3733"/>
    <w:rsid w:val="001B4D7C"/>
    <w:rsid w:val="001B59F9"/>
    <w:rsid w:val="001B5B01"/>
    <w:rsid w:val="001C0469"/>
    <w:rsid w:val="001C0D6E"/>
    <w:rsid w:val="001C0E1D"/>
    <w:rsid w:val="001C5150"/>
    <w:rsid w:val="001D08EA"/>
    <w:rsid w:val="001D2FA7"/>
    <w:rsid w:val="001D31CA"/>
    <w:rsid w:val="001D3355"/>
    <w:rsid w:val="001D3FD5"/>
    <w:rsid w:val="001D63D0"/>
    <w:rsid w:val="001D6581"/>
    <w:rsid w:val="001D7246"/>
    <w:rsid w:val="001E14C1"/>
    <w:rsid w:val="001E3162"/>
    <w:rsid w:val="001E3E4C"/>
    <w:rsid w:val="001E5CF9"/>
    <w:rsid w:val="001F03B7"/>
    <w:rsid w:val="001F05CF"/>
    <w:rsid w:val="001F1387"/>
    <w:rsid w:val="001F1501"/>
    <w:rsid w:val="001F1CA5"/>
    <w:rsid w:val="001F44B0"/>
    <w:rsid w:val="001F64F5"/>
    <w:rsid w:val="002012D1"/>
    <w:rsid w:val="0020316D"/>
    <w:rsid w:val="002033E8"/>
    <w:rsid w:val="002034B5"/>
    <w:rsid w:val="00203541"/>
    <w:rsid w:val="00203B78"/>
    <w:rsid w:val="00205117"/>
    <w:rsid w:val="0020539E"/>
    <w:rsid w:val="002055E7"/>
    <w:rsid w:val="00205727"/>
    <w:rsid w:val="00206D86"/>
    <w:rsid w:val="00206DA0"/>
    <w:rsid w:val="002075DA"/>
    <w:rsid w:val="00212003"/>
    <w:rsid w:val="00213AFC"/>
    <w:rsid w:val="00214FE3"/>
    <w:rsid w:val="0021502B"/>
    <w:rsid w:val="00215279"/>
    <w:rsid w:val="002170C2"/>
    <w:rsid w:val="00217EC6"/>
    <w:rsid w:val="002253F2"/>
    <w:rsid w:val="00225E69"/>
    <w:rsid w:val="0022651D"/>
    <w:rsid w:val="002267F4"/>
    <w:rsid w:val="00230566"/>
    <w:rsid w:val="0023140D"/>
    <w:rsid w:val="00232494"/>
    <w:rsid w:val="00233C71"/>
    <w:rsid w:val="00234FF6"/>
    <w:rsid w:val="002353D8"/>
    <w:rsid w:val="002360C5"/>
    <w:rsid w:val="00237055"/>
    <w:rsid w:val="00240F73"/>
    <w:rsid w:val="00242071"/>
    <w:rsid w:val="002423B2"/>
    <w:rsid w:val="00244872"/>
    <w:rsid w:val="00246AD4"/>
    <w:rsid w:val="00247110"/>
    <w:rsid w:val="00247AE1"/>
    <w:rsid w:val="00247BBA"/>
    <w:rsid w:val="00247F2B"/>
    <w:rsid w:val="00250771"/>
    <w:rsid w:val="00251E5E"/>
    <w:rsid w:val="00252FEE"/>
    <w:rsid w:val="00256BDE"/>
    <w:rsid w:val="00257C3D"/>
    <w:rsid w:val="0026001D"/>
    <w:rsid w:val="002626FF"/>
    <w:rsid w:val="002642EB"/>
    <w:rsid w:val="002648F9"/>
    <w:rsid w:val="00264E78"/>
    <w:rsid w:val="00265ABD"/>
    <w:rsid w:val="00265E0A"/>
    <w:rsid w:val="00266636"/>
    <w:rsid w:val="0026714A"/>
    <w:rsid w:val="002672ED"/>
    <w:rsid w:val="0026730B"/>
    <w:rsid w:val="00267554"/>
    <w:rsid w:val="002703EE"/>
    <w:rsid w:val="002705A8"/>
    <w:rsid w:val="00270C89"/>
    <w:rsid w:val="00271216"/>
    <w:rsid w:val="00271AE3"/>
    <w:rsid w:val="0027257B"/>
    <w:rsid w:val="00276F62"/>
    <w:rsid w:val="002770CE"/>
    <w:rsid w:val="00277E27"/>
    <w:rsid w:val="002830E9"/>
    <w:rsid w:val="0028315F"/>
    <w:rsid w:val="002835FE"/>
    <w:rsid w:val="00286823"/>
    <w:rsid w:val="00286B56"/>
    <w:rsid w:val="00291387"/>
    <w:rsid w:val="002914F4"/>
    <w:rsid w:val="00292DAE"/>
    <w:rsid w:val="0029357A"/>
    <w:rsid w:val="00293F0B"/>
    <w:rsid w:val="0029408A"/>
    <w:rsid w:val="0029571C"/>
    <w:rsid w:val="002963D4"/>
    <w:rsid w:val="00297DA9"/>
    <w:rsid w:val="002A3C73"/>
    <w:rsid w:val="002A584D"/>
    <w:rsid w:val="002A7A13"/>
    <w:rsid w:val="002A7EFD"/>
    <w:rsid w:val="002B2C61"/>
    <w:rsid w:val="002B365C"/>
    <w:rsid w:val="002B41C9"/>
    <w:rsid w:val="002B5BC3"/>
    <w:rsid w:val="002B60A9"/>
    <w:rsid w:val="002B6A4B"/>
    <w:rsid w:val="002B7EEA"/>
    <w:rsid w:val="002C05CB"/>
    <w:rsid w:val="002C1480"/>
    <w:rsid w:val="002C3832"/>
    <w:rsid w:val="002C3C0C"/>
    <w:rsid w:val="002C44AF"/>
    <w:rsid w:val="002C4EE5"/>
    <w:rsid w:val="002C7EA5"/>
    <w:rsid w:val="002D1237"/>
    <w:rsid w:val="002D1B5A"/>
    <w:rsid w:val="002D2F6D"/>
    <w:rsid w:val="002D2F9C"/>
    <w:rsid w:val="002D44DC"/>
    <w:rsid w:val="002D5036"/>
    <w:rsid w:val="002D544B"/>
    <w:rsid w:val="002D66FA"/>
    <w:rsid w:val="002E1C41"/>
    <w:rsid w:val="002E1F61"/>
    <w:rsid w:val="002E2151"/>
    <w:rsid w:val="002E4351"/>
    <w:rsid w:val="002E5A90"/>
    <w:rsid w:val="002E5D0D"/>
    <w:rsid w:val="002E76CF"/>
    <w:rsid w:val="002E7BE2"/>
    <w:rsid w:val="002F0DEB"/>
    <w:rsid w:val="002F1CFB"/>
    <w:rsid w:val="002F2994"/>
    <w:rsid w:val="002F52DD"/>
    <w:rsid w:val="002F546C"/>
    <w:rsid w:val="002F6110"/>
    <w:rsid w:val="002F68F9"/>
    <w:rsid w:val="00300830"/>
    <w:rsid w:val="00300E12"/>
    <w:rsid w:val="00301F38"/>
    <w:rsid w:val="00301F65"/>
    <w:rsid w:val="00305262"/>
    <w:rsid w:val="00307316"/>
    <w:rsid w:val="003073E7"/>
    <w:rsid w:val="00311C8E"/>
    <w:rsid w:val="00311E10"/>
    <w:rsid w:val="003134E9"/>
    <w:rsid w:val="0031413C"/>
    <w:rsid w:val="003145D0"/>
    <w:rsid w:val="00314FA4"/>
    <w:rsid w:val="0031530C"/>
    <w:rsid w:val="0031737F"/>
    <w:rsid w:val="00317B5C"/>
    <w:rsid w:val="003210D0"/>
    <w:rsid w:val="003211BB"/>
    <w:rsid w:val="00324416"/>
    <w:rsid w:val="00324A15"/>
    <w:rsid w:val="00325570"/>
    <w:rsid w:val="0032620D"/>
    <w:rsid w:val="0032683D"/>
    <w:rsid w:val="00330288"/>
    <w:rsid w:val="00330710"/>
    <w:rsid w:val="00330A6C"/>
    <w:rsid w:val="00331994"/>
    <w:rsid w:val="00332DF7"/>
    <w:rsid w:val="00332FD8"/>
    <w:rsid w:val="00336025"/>
    <w:rsid w:val="00337D12"/>
    <w:rsid w:val="003402E7"/>
    <w:rsid w:val="0034072D"/>
    <w:rsid w:val="003409A9"/>
    <w:rsid w:val="00340FDA"/>
    <w:rsid w:val="0034179D"/>
    <w:rsid w:val="00343726"/>
    <w:rsid w:val="00344B1D"/>
    <w:rsid w:val="003451F0"/>
    <w:rsid w:val="00345CD0"/>
    <w:rsid w:val="00347EE2"/>
    <w:rsid w:val="003505B4"/>
    <w:rsid w:val="00351326"/>
    <w:rsid w:val="00352474"/>
    <w:rsid w:val="00352C39"/>
    <w:rsid w:val="003530F9"/>
    <w:rsid w:val="003545AA"/>
    <w:rsid w:val="00355F07"/>
    <w:rsid w:val="00357994"/>
    <w:rsid w:val="00363589"/>
    <w:rsid w:val="003645E6"/>
    <w:rsid w:val="003651BD"/>
    <w:rsid w:val="00365D79"/>
    <w:rsid w:val="00365E04"/>
    <w:rsid w:val="00366A2A"/>
    <w:rsid w:val="003672DE"/>
    <w:rsid w:val="003707FC"/>
    <w:rsid w:val="00371496"/>
    <w:rsid w:val="003714B6"/>
    <w:rsid w:val="00371E0A"/>
    <w:rsid w:val="00371EF8"/>
    <w:rsid w:val="00373FDE"/>
    <w:rsid w:val="00374637"/>
    <w:rsid w:val="003753C6"/>
    <w:rsid w:val="00375527"/>
    <w:rsid w:val="00376AD4"/>
    <w:rsid w:val="00376D72"/>
    <w:rsid w:val="003770E2"/>
    <w:rsid w:val="00377166"/>
    <w:rsid w:val="00377EFF"/>
    <w:rsid w:val="003801CC"/>
    <w:rsid w:val="00381936"/>
    <w:rsid w:val="00386218"/>
    <w:rsid w:val="00386E0D"/>
    <w:rsid w:val="00387065"/>
    <w:rsid w:val="00387AF0"/>
    <w:rsid w:val="00387E1A"/>
    <w:rsid w:val="0039146E"/>
    <w:rsid w:val="003927B1"/>
    <w:rsid w:val="00393560"/>
    <w:rsid w:val="00393919"/>
    <w:rsid w:val="00394406"/>
    <w:rsid w:val="0039473D"/>
    <w:rsid w:val="00395749"/>
    <w:rsid w:val="00395B91"/>
    <w:rsid w:val="00397936"/>
    <w:rsid w:val="003A0A81"/>
    <w:rsid w:val="003A31D7"/>
    <w:rsid w:val="003A40C8"/>
    <w:rsid w:val="003A5001"/>
    <w:rsid w:val="003A67FB"/>
    <w:rsid w:val="003A69C2"/>
    <w:rsid w:val="003A6F98"/>
    <w:rsid w:val="003A77EF"/>
    <w:rsid w:val="003B0418"/>
    <w:rsid w:val="003B410C"/>
    <w:rsid w:val="003B4275"/>
    <w:rsid w:val="003B45BF"/>
    <w:rsid w:val="003B4E78"/>
    <w:rsid w:val="003B5B6D"/>
    <w:rsid w:val="003B7A02"/>
    <w:rsid w:val="003C07E5"/>
    <w:rsid w:val="003C1221"/>
    <w:rsid w:val="003C177A"/>
    <w:rsid w:val="003C3AA0"/>
    <w:rsid w:val="003C3E1D"/>
    <w:rsid w:val="003C6816"/>
    <w:rsid w:val="003C6B44"/>
    <w:rsid w:val="003D019F"/>
    <w:rsid w:val="003D0240"/>
    <w:rsid w:val="003D1111"/>
    <w:rsid w:val="003D2C7C"/>
    <w:rsid w:val="003D6F5C"/>
    <w:rsid w:val="003D7FB0"/>
    <w:rsid w:val="003E1A81"/>
    <w:rsid w:val="003E1B05"/>
    <w:rsid w:val="003E4395"/>
    <w:rsid w:val="003E48D8"/>
    <w:rsid w:val="003E4D2D"/>
    <w:rsid w:val="003E5F42"/>
    <w:rsid w:val="003E68DB"/>
    <w:rsid w:val="003E6980"/>
    <w:rsid w:val="003F03B2"/>
    <w:rsid w:val="003F2D8C"/>
    <w:rsid w:val="003F6130"/>
    <w:rsid w:val="003F6F52"/>
    <w:rsid w:val="00400B8B"/>
    <w:rsid w:val="00402F68"/>
    <w:rsid w:val="00403FC7"/>
    <w:rsid w:val="0040429F"/>
    <w:rsid w:val="0040493B"/>
    <w:rsid w:val="00404C36"/>
    <w:rsid w:val="00406BC5"/>
    <w:rsid w:val="004071FB"/>
    <w:rsid w:val="004076DC"/>
    <w:rsid w:val="00410FB1"/>
    <w:rsid w:val="004116DD"/>
    <w:rsid w:val="00412BB5"/>
    <w:rsid w:val="00413702"/>
    <w:rsid w:val="0041606C"/>
    <w:rsid w:val="004164A8"/>
    <w:rsid w:val="004164ED"/>
    <w:rsid w:val="00416854"/>
    <w:rsid w:val="00416AA6"/>
    <w:rsid w:val="00417AC6"/>
    <w:rsid w:val="00420B37"/>
    <w:rsid w:val="0042121D"/>
    <w:rsid w:val="0042394A"/>
    <w:rsid w:val="00424023"/>
    <w:rsid w:val="00427DD6"/>
    <w:rsid w:val="004323EB"/>
    <w:rsid w:val="004325A1"/>
    <w:rsid w:val="0043271E"/>
    <w:rsid w:val="00432BA2"/>
    <w:rsid w:val="00432E91"/>
    <w:rsid w:val="004331A2"/>
    <w:rsid w:val="004355F7"/>
    <w:rsid w:val="00436685"/>
    <w:rsid w:val="00436ED9"/>
    <w:rsid w:val="00440493"/>
    <w:rsid w:val="00441CBB"/>
    <w:rsid w:val="00441E82"/>
    <w:rsid w:val="0044284B"/>
    <w:rsid w:val="00445131"/>
    <w:rsid w:val="004472E1"/>
    <w:rsid w:val="00451D33"/>
    <w:rsid w:val="004529CF"/>
    <w:rsid w:val="004569E8"/>
    <w:rsid w:val="00456AE5"/>
    <w:rsid w:val="004663CC"/>
    <w:rsid w:val="00466DEF"/>
    <w:rsid w:val="00467BAC"/>
    <w:rsid w:val="0047145F"/>
    <w:rsid w:val="0047330C"/>
    <w:rsid w:val="00473719"/>
    <w:rsid w:val="004741C3"/>
    <w:rsid w:val="00474754"/>
    <w:rsid w:val="00475C13"/>
    <w:rsid w:val="00475D5F"/>
    <w:rsid w:val="00476123"/>
    <w:rsid w:val="0047640A"/>
    <w:rsid w:val="00480243"/>
    <w:rsid w:val="0048650E"/>
    <w:rsid w:val="00492E32"/>
    <w:rsid w:val="004953C9"/>
    <w:rsid w:val="00495843"/>
    <w:rsid w:val="00495F95"/>
    <w:rsid w:val="00496B55"/>
    <w:rsid w:val="00496DC9"/>
    <w:rsid w:val="004A0FFC"/>
    <w:rsid w:val="004A1149"/>
    <w:rsid w:val="004A32D7"/>
    <w:rsid w:val="004B1D2D"/>
    <w:rsid w:val="004B1E96"/>
    <w:rsid w:val="004B2322"/>
    <w:rsid w:val="004B2E1E"/>
    <w:rsid w:val="004B612B"/>
    <w:rsid w:val="004B7FC6"/>
    <w:rsid w:val="004C08AA"/>
    <w:rsid w:val="004C1DBD"/>
    <w:rsid w:val="004C24D1"/>
    <w:rsid w:val="004C2850"/>
    <w:rsid w:val="004C59B3"/>
    <w:rsid w:val="004C5E97"/>
    <w:rsid w:val="004C6B68"/>
    <w:rsid w:val="004D04BC"/>
    <w:rsid w:val="004D15BF"/>
    <w:rsid w:val="004D1724"/>
    <w:rsid w:val="004D2276"/>
    <w:rsid w:val="004D2352"/>
    <w:rsid w:val="004D2FD5"/>
    <w:rsid w:val="004D7606"/>
    <w:rsid w:val="004D7EA8"/>
    <w:rsid w:val="004E0CE6"/>
    <w:rsid w:val="004E2110"/>
    <w:rsid w:val="004E5C49"/>
    <w:rsid w:val="004E6A4B"/>
    <w:rsid w:val="004E6D8A"/>
    <w:rsid w:val="004F2845"/>
    <w:rsid w:val="004F3ABE"/>
    <w:rsid w:val="004F3D58"/>
    <w:rsid w:val="004F3DBF"/>
    <w:rsid w:val="004F44F5"/>
    <w:rsid w:val="004F4AF6"/>
    <w:rsid w:val="004F539B"/>
    <w:rsid w:val="004F574E"/>
    <w:rsid w:val="004F6D9C"/>
    <w:rsid w:val="004F7411"/>
    <w:rsid w:val="004F765A"/>
    <w:rsid w:val="00500264"/>
    <w:rsid w:val="00500CF5"/>
    <w:rsid w:val="005010A2"/>
    <w:rsid w:val="005016B3"/>
    <w:rsid w:val="00501F30"/>
    <w:rsid w:val="00502076"/>
    <w:rsid w:val="0050267E"/>
    <w:rsid w:val="00504FFC"/>
    <w:rsid w:val="00505F69"/>
    <w:rsid w:val="005074CB"/>
    <w:rsid w:val="005076C1"/>
    <w:rsid w:val="00511258"/>
    <w:rsid w:val="00511C89"/>
    <w:rsid w:val="00512167"/>
    <w:rsid w:val="00512E0D"/>
    <w:rsid w:val="00516518"/>
    <w:rsid w:val="005170BB"/>
    <w:rsid w:val="005177E1"/>
    <w:rsid w:val="00521D0C"/>
    <w:rsid w:val="00522FAA"/>
    <w:rsid w:val="005304FD"/>
    <w:rsid w:val="00530FC7"/>
    <w:rsid w:val="00531564"/>
    <w:rsid w:val="00531CCC"/>
    <w:rsid w:val="005320CF"/>
    <w:rsid w:val="00533FA8"/>
    <w:rsid w:val="0053472A"/>
    <w:rsid w:val="00535FBD"/>
    <w:rsid w:val="00537AD9"/>
    <w:rsid w:val="00537B46"/>
    <w:rsid w:val="0054004D"/>
    <w:rsid w:val="00542426"/>
    <w:rsid w:val="00543D82"/>
    <w:rsid w:val="0054452B"/>
    <w:rsid w:val="00551F32"/>
    <w:rsid w:val="00552C96"/>
    <w:rsid w:val="00552EB1"/>
    <w:rsid w:val="005555DC"/>
    <w:rsid w:val="005601D2"/>
    <w:rsid w:val="00560A01"/>
    <w:rsid w:val="00560C2F"/>
    <w:rsid w:val="0056269D"/>
    <w:rsid w:val="00562746"/>
    <w:rsid w:val="00563372"/>
    <w:rsid w:val="005656E7"/>
    <w:rsid w:val="0056590E"/>
    <w:rsid w:val="005659A5"/>
    <w:rsid w:val="00567B68"/>
    <w:rsid w:val="00572342"/>
    <w:rsid w:val="00574650"/>
    <w:rsid w:val="005746A2"/>
    <w:rsid w:val="00574795"/>
    <w:rsid w:val="00576D81"/>
    <w:rsid w:val="00580387"/>
    <w:rsid w:val="00580530"/>
    <w:rsid w:val="00583910"/>
    <w:rsid w:val="00586CF3"/>
    <w:rsid w:val="00593161"/>
    <w:rsid w:val="005961DD"/>
    <w:rsid w:val="005A162E"/>
    <w:rsid w:val="005A223D"/>
    <w:rsid w:val="005A244E"/>
    <w:rsid w:val="005A2772"/>
    <w:rsid w:val="005A3A88"/>
    <w:rsid w:val="005A3ABD"/>
    <w:rsid w:val="005A4AC2"/>
    <w:rsid w:val="005A5DFC"/>
    <w:rsid w:val="005A5EA3"/>
    <w:rsid w:val="005A6C04"/>
    <w:rsid w:val="005B0B50"/>
    <w:rsid w:val="005B34F9"/>
    <w:rsid w:val="005B37F0"/>
    <w:rsid w:val="005B3AB7"/>
    <w:rsid w:val="005B4D3A"/>
    <w:rsid w:val="005B57D3"/>
    <w:rsid w:val="005B6300"/>
    <w:rsid w:val="005B6E10"/>
    <w:rsid w:val="005B78E8"/>
    <w:rsid w:val="005C02D4"/>
    <w:rsid w:val="005C2269"/>
    <w:rsid w:val="005C3E6F"/>
    <w:rsid w:val="005C43D5"/>
    <w:rsid w:val="005C506C"/>
    <w:rsid w:val="005C6053"/>
    <w:rsid w:val="005C7C8B"/>
    <w:rsid w:val="005D0210"/>
    <w:rsid w:val="005D381F"/>
    <w:rsid w:val="005D3D71"/>
    <w:rsid w:val="005D3E46"/>
    <w:rsid w:val="005D4396"/>
    <w:rsid w:val="005D5B19"/>
    <w:rsid w:val="005D69AF"/>
    <w:rsid w:val="005D6BE1"/>
    <w:rsid w:val="005D70B4"/>
    <w:rsid w:val="005D717E"/>
    <w:rsid w:val="005E00E4"/>
    <w:rsid w:val="005E060C"/>
    <w:rsid w:val="005E06B7"/>
    <w:rsid w:val="005E2DCC"/>
    <w:rsid w:val="005E3511"/>
    <w:rsid w:val="005E580C"/>
    <w:rsid w:val="005E6339"/>
    <w:rsid w:val="005F0952"/>
    <w:rsid w:val="005F0B0F"/>
    <w:rsid w:val="005F116A"/>
    <w:rsid w:val="005F2B7B"/>
    <w:rsid w:val="005F4547"/>
    <w:rsid w:val="005F569E"/>
    <w:rsid w:val="005F6731"/>
    <w:rsid w:val="0060335C"/>
    <w:rsid w:val="006036E6"/>
    <w:rsid w:val="006050BC"/>
    <w:rsid w:val="00605E70"/>
    <w:rsid w:val="00607495"/>
    <w:rsid w:val="0061072F"/>
    <w:rsid w:val="00612FAA"/>
    <w:rsid w:val="00615DDB"/>
    <w:rsid w:val="00616813"/>
    <w:rsid w:val="00616E06"/>
    <w:rsid w:val="0062171B"/>
    <w:rsid w:val="006217B4"/>
    <w:rsid w:val="006239AF"/>
    <w:rsid w:val="006264D2"/>
    <w:rsid w:val="006325E5"/>
    <w:rsid w:val="0063287C"/>
    <w:rsid w:val="0063492D"/>
    <w:rsid w:val="006363B8"/>
    <w:rsid w:val="00637A52"/>
    <w:rsid w:val="006416F6"/>
    <w:rsid w:val="00641907"/>
    <w:rsid w:val="0064246D"/>
    <w:rsid w:val="006432D2"/>
    <w:rsid w:val="006442AB"/>
    <w:rsid w:val="00644D16"/>
    <w:rsid w:val="00645755"/>
    <w:rsid w:val="00646099"/>
    <w:rsid w:val="00646520"/>
    <w:rsid w:val="006469A4"/>
    <w:rsid w:val="006469DF"/>
    <w:rsid w:val="00650D78"/>
    <w:rsid w:val="0065186C"/>
    <w:rsid w:val="006528E8"/>
    <w:rsid w:val="00652D8C"/>
    <w:rsid w:val="0065385C"/>
    <w:rsid w:val="00655BEB"/>
    <w:rsid w:val="0066048B"/>
    <w:rsid w:val="00661A43"/>
    <w:rsid w:val="0066356D"/>
    <w:rsid w:val="0066628F"/>
    <w:rsid w:val="006666BF"/>
    <w:rsid w:val="006673FF"/>
    <w:rsid w:val="006717C6"/>
    <w:rsid w:val="006719FF"/>
    <w:rsid w:val="006725CE"/>
    <w:rsid w:val="006732F2"/>
    <w:rsid w:val="006734B7"/>
    <w:rsid w:val="006734C8"/>
    <w:rsid w:val="00674B9E"/>
    <w:rsid w:val="00675ABD"/>
    <w:rsid w:val="0067662A"/>
    <w:rsid w:val="00677F0C"/>
    <w:rsid w:val="00680594"/>
    <w:rsid w:val="0068074F"/>
    <w:rsid w:val="006818A8"/>
    <w:rsid w:val="0068651D"/>
    <w:rsid w:val="00687FA9"/>
    <w:rsid w:val="0069031C"/>
    <w:rsid w:val="00691584"/>
    <w:rsid w:val="00692244"/>
    <w:rsid w:val="00693BC3"/>
    <w:rsid w:val="00694534"/>
    <w:rsid w:val="00695A90"/>
    <w:rsid w:val="00696C10"/>
    <w:rsid w:val="006A2811"/>
    <w:rsid w:val="006A41D4"/>
    <w:rsid w:val="006A4453"/>
    <w:rsid w:val="006A5B03"/>
    <w:rsid w:val="006A7853"/>
    <w:rsid w:val="006B06E3"/>
    <w:rsid w:val="006B0A3D"/>
    <w:rsid w:val="006B0A72"/>
    <w:rsid w:val="006B30A2"/>
    <w:rsid w:val="006B54EC"/>
    <w:rsid w:val="006B6373"/>
    <w:rsid w:val="006B72AC"/>
    <w:rsid w:val="006C04D1"/>
    <w:rsid w:val="006C2832"/>
    <w:rsid w:val="006C5B2D"/>
    <w:rsid w:val="006C684B"/>
    <w:rsid w:val="006C7B1E"/>
    <w:rsid w:val="006D0D7A"/>
    <w:rsid w:val="006D0FAD"/>
    <w:rsid w:val="006D2250"/>
    <w:rsid w:val="006D3478"/>
    <w:rsid w:val="006D353C"/>
    <w:rsid w:val="006D63C2"/>
    <w:rsid w:val="006E031C"/>
    <w:rsid w:val="006E062A"/>
    <w:rsid w:val="006E0AC7"/>
    <w:rsid w:val="006E11E3"/>
    <w:rsid w:val="006E2429"/>
    <w:rsid w:val="006E5129"/>
    <w:rsid w:val="006E5F06"/>
    <w:rsid w:val="006F0F3D"/>
    <w:rsid w:val="006F1E92"/>
    <w:rsid w:val="006F48F4"/>
    <w:rsid w:val="006F5A51"/>
    <w:rsid w:val="006F68D3"/>
    <w:rsid w:val="006F6943"/>
    <w:rsid w:val="006F6E58"/>
    <w:rsid w:val="006F76B9"/>
    <w:rsid w:val="006F7E50"/>
    <w:rsid w:val="0070008E"/>
    <w:rsid w:val="00700629"/>
    <w:rsid w:val="00702956"/>
    <w:rsid w:val="007029A2"/>
    <w:rsid w:val="00703320"/>
    <w:rsid w:val="007038CC"/>
    <w:rsid w:val="00703CA4"/>
    <w:rsid w:val="007070C2"/>
    <w:rsid w:val="007101B8"/>
    <w:rsid w:val="0071196F"/>
    <w:rsid w:val="00712C3B"/>
    <w:rsid w:val="00713731"/>
    <w:rsid w:val="00713A1C"/>
    <w:rsid w:val="007140E6"/>
    <w:rsid w:val="00714B2B"/>
    <w:rsid w:val="00714F1F"/>
    <w:rsid w:val="00716926"/>
    <w:rsid w:val="00716B06"/>
    <w:rsid w:val="007171FF"/>
    <w:rsid w:val="007173C3"/>
    <w:rsid w:val="007225B2"/>
    <w:rsid w:val="00722AC2"/>
    <w:rsid w:val="00724008"/>
    <w:rsid w:val="0072567C"/>
    <w:rsid w:val="00725903"/>
    <w:rsid w:val="00732801"/>
    <w:rsid w:val="007329CD"/>
    <w:rsid w:val="007364F5"/>
    <w:rsid w:val="00737C8A"/>
    <w:rsid w:val="007445E0"/>
    <w:rsid w:val="0074532C"/>
    <w:rsid w:val="007459DB"/>
    <w:rsid w:val="0074737A"/>
    <w:rsid w:val="00751091"/>
    <w:rsid w:val="007511A5"/>
    <w:rsid w:val="00753233"/>
    <w:rsid w:val="007543BD"/>
    <w:rsid w:val="007544E3"/>
    <w:rsid w:val="00754990"/>
    <w:rsid w:val="007551C0"/>
    <w:rsid w:val="00756717"/>
    <w:rsid w:val="00756F59"/>
    <w:rsid w:val="00757789"/>
    <w:rsid w:val="00757EA0"/>
    <w:rsid w:val="00760378"/>
    <w:rsid w:val="00760D47"/>
    <w:rsid w:val="00761589"/>
    <w:rsid w:val="00764762"/>
    <w:rsid w:val="007659C7"/>
    <w:rsid w:val="007723A3"/>
    <w:rsid w:val="0077312B"/>
    <w:rsid w:val="007734AD"/>
    <w:rsid w:val="007773FA"/>
    <w:rsid w:val="0077769A"/>
    <w:rsid w:val="00780273"/>
    <w:rsid w:val="00781C81"/>
    <w:rsid w:val="0078323A"/>
    <w:rsid w:val="007840B2"/>
    <w:rsid w:val="00784A0D"/>
    <w:rsid w:val="00784E8F"/>
    <w:rsid w:val="00786234"/>
    <w:rsid w:val="00787051"/>
    <w:rsid w:val="00787D31"/>
    <w:rsid w:val="00790323"/>
    <w:rsid w:val="00792483"/>
    <w:rsid w:val="0079560E"/>
    <w:rsid w:val="00797501"/>
    <w:rsid w:val="007A2250"/>
    <w:rsid w:val="007A2BC8"/>
    <w:rsid w:val="007A3075"/>
    <w:rsid w:val="007A6AAD"/>
    <w:rsid w:val="007B19FB"/>
    <w:rsid w:val="007B2B31"/>
    <w:rsid w:val="007B3423"/>
    <w:rsid w:val="007B3EC0"/>
    <w:rsid w:val="007B4D94"/>
    <w:rsid w:val="007B56A7"/>
    <w:rsid w:val="007B6080"/>
    <w:rsid w:val="007B6F76"/>
    <w:rsid w:val="007B7960"/>
    <w:rsid w:val="007C0371"/>
    <w:rsid w:val="007C0AF0"/>
    <w:rsid w:val="007C2136"/>
    <w:rsid w:val="007C3130"/>
    <w:rsid w:val="007C3CDE"/>
    <w:rsid w:val="007C41D7"/>
    <w:rsid w:val="007C4AA1"/>
    <w:rsid w:val="007C69FA"/>
    <w:rsid w:val="007D05B7"/>
    <w:rsid w:val="007D0E42"/>
    <w:rsid w:val="007D158B"/>
    <w:rsid w:val="007D22F0"/>
    <w:rsid w:val="007D2369"/>
    <w:rsid w:val="007D3105"/>
    <w:rsid w:val="007D35B5"/>
    <w:rsid w:val="007E1864"/>
    <w:rsid w:val="007E195C"/>
    <w:rsid w:val="007E1FA0"/>
    <w:rsid w:val="007E4168"/>
    <w:rsid w:val="007E4483"/>
    <w:rsid w:val="007E4965"/>
    <w:rsid w:val="007E4AF0"/>
    <w:rsid w:val="007F00A1"/>
    <w:rsid w:val="007F029B"/>
    <w:rsid w:val="007F0709"/>
    <w:rsid w:val="007F117A"/>
    <w:rsid w:val="007F28F7"/>
    <w:rsid w:val="007F3915"/>
    <w:rsid w:val="007F50E7"/>
    <w:rsid w:val="007F53BC"/>
    <w:rsid w:val="007F5608"/>
    <w:rsid w:val="007F72D0"/>
    <w:rsid w:val="007F7B5E"/>
    <w:rsid w:val="00801CB4"/>
    <w:rsid w:val="0080221B"/>
    <w:rsid w:val="00803886"/>
    <w:rsid w:val="00803A14"/>
    <w:rsid w:val="00804872"/>
    <w:rsid w:val="00806463"/>
    <w:rsid w:val="00806D8F"/>
    <w:rsid w:val="008102D7"/>
    <w:rsid w:val="00810A54"/>
    <w:rsid w:val="00811FD6"/>
    <w:rsid w:val="00813A85"/>
    <w:rsid w:val="00815287"/>
    <w:rsid w:val="00815788"/>
    <w:rsid w:val="00816CEE"/>
    <w:rsid w:val="00816DBF"/>
    <w:rsid w:val="00820618"/>
    <w:rsid w:val="008216A9"/>
    <w:rsid w:val="00822454"/>
    <w:rsid w:val="00822CB8"/>
    <w:rsid w:val="0082529D"/>
    <w:rsid w:val="00827AAD"/>
    <w:rsid w:val="008300CD"/>
    <w:rsid w:val="00830773"/>
    <w:rsid w:val="00831C77"/>
    <w:rsid w:val="00832884"/>
    <w:rsid w:val="008349EF"/>
    <w:rsid w:val="008351DB"/>
    <w:rsid w:val="00835945"/>
    <w:rsid w:val="008359A3"/>
    <w:rsid w:val="00836229"/>
    <w:rsid w:val="00836A4C"/>
    <w:rsid w:val="00836F79"/>
    <w:rsid w:val="00840305"/>
    <w:rsid w:val="00841364"/>
    <w:rsid w:val="00843D1A"/>
    <w:rsid w:val="008450CF"/>
    <w:rsid w:val="00845D69"/>
    <w:rsid w:val="008475EB"/>
    <w:rsid w:val="0085062E"/>
    <w:rsid w:val="00850DFD"/>
    <w:rsid w:val="00851185"/>
    <w:rsid w:val="00851AE4"/>
    <w:rsid w:val="00852055"/>
    <w:rsid w:val="008527C0"/>
    <w:rsid w:val="00852F59"/>
    <w:rsid w:val="00854C9E"/>
    <w:rsid w:val="00861CA1"/>
    <w:rsid w:val="00863C9C"/>
    <w:rsid w:val="00865045"/>
    <w:rsid w:val="00865814"/>
    <w:rsid w:val="00865D6A"/>
    <w:rsid w:val="00866D60"/>
    <w:rsid w:val="008678DA"/>
    <w:rsid w:val="00867A40"/>
    <w:rsid w:val="0087078E"/>
    <w:rsid w:val="00870931"/>
    <w:rsid w:val="008715E2"/>
    <w:rsid w:val="00871873"/>
    <w:rsid w:val="0087248F"/>
    <w:rsid w:val="00873D03"/>
    <w:rsid w:val="00874EB2"/>
    <w:rsid w:val="0087613F"/>
    <w:rsid w:val="00876DC2"/>
    <w:rsid w:val="00880D4B"/>
    <w:rsid w:val="00881032"/>
    <w:rsid w:val="00882A82"/>
    <w:rsid w:val="00883325"/>
    <w:rsid w:val="00884DBF"/>
    <w:rsid w:val="0088522F"/>
    <w:rsid w:val="00887B52"/>
    <w:rsid w:val="0089048E"/>
    <w:rsid w:val="00890E2B"/>
    <w:rsid w:val="0089145C"/>
    <w:rsid w:val="0089256F"/>
    <w:rsid w:val="0089351E"/>
    <w:rsid w:val="008945FC"/>
    <w:rsid w:val="00894D63"/>
    <w:rsid w:val="008956B0"/>
    <w:rsid w:val="00896835"/>
    <w:rsid w:val="00896F98"/>
    <w:rsid w:val="008A0BC5"/>
    <w:rsid w:val="008A15E1"/>
    <w:rsid w:val="008A217D"/>
    <w:rsid w:val="008A411E"/>
    <w:rsid w:val="008A5075"/>
    <w:rsid w:val="008A651D"/>
    <w:rsid w:val="008A794E"/>
    <w:rsid w:val="008B055F"/>
    <w:rsid w:val="008B1369"/>
    <w:rsid w:val="008B14DD"/>
    <w:rsid w:val="008B20FA"/>
    <w:rsid w:val="008B3B62"/>
    <w:rsid w:val="008B545C"/>
    <w:rsid w:val="008B5D7F"/>
    <w:rsid w:val="008B72A0"/>
    <w:rsid w:val="008C2550"/>
    <w:rsid w:val="008C385F"/>
    <w:rsid w:val="008C3FBF"/>
    <w:rsid w:val="008C4590"/>
    <w:rsid w:val="008C45C7"/>
    <w:rsid w:val="008C58E1"/>
    <w:rsid w:val="008C6CFA"/>
    <w:rsid w:val="008D04CE"/>
    <w:rsid w:val="008D07F5"/>
    <w:rsid w:val="008D217E"/>
    <w:rsid w:val="008D30A9"/>
    <w:rsid w:val="008D327D"/>
    <w:rsid w:val="008D43BA"/>
    <w:rsid w:val="008D5185"/>
    <w:rsid w:val="008D52CB"/>
    <w:rsid w:val="008D73DE"/>
    <w:rsid w:val="008E0350"/>
    <w:rsid w:val="008E071E"/>
    <w:rsid w:val="008E0833"/>
    <w:rsid w:val="008E08C4"/>
    <w:rsid w:val="008E0DEB"/>
    <w:rsid w:val="008E4C28"/>
    <w:rsid w:val="008E4D2D"/>
    <w:rsid w:val="008E5BCA"/>
    <w:rsid w:val="008F31E9"/>
    <w:rsid w:val="008F3A88"/>
    <w:rsid w:val="008F3CB1"/>
    <w:rsid w:val="008F4209"/>
    <w:rsid w:val="008F5199"/>
    <w:rsid w:val="008F5B54"/>
    <w:rsid w:val="008F5FFB"/>
    <w:rsid w:val="008F67B5"/>
    <w:rsid w:val="008F6F43"/>
    <w:rsid w:val="00900989"/>
    <w:rsid w:val="009049A8"/>
    <w:rsid w:val="0090533A"/>
    <w:rsid w:val="00905535"/>
    <w:rsid w:val="00905F19"/>
    <w:rsid w:val="00906DCB"/>
    <w:rsid w:val="009079B5"/>
    <w:rsid w:val="00910534"/>
    <w:rsid w:val="00911672"/>
    <w:rsid w:val="00911728"/>
    <w:rsid w:val="00912B28"/>
    <w:rsid w:val="00913598"/>
    <w:rsid w:val="0091408D"/>
    <w:rsid w:val="00914F98"/>
    <w:rsid w:val="00917C93"/>
    <w:rsid w:val="00922A36"/>
    <w:rsid w:val="009257A5"/>
    <w:rsid w:val="009262CE"/>
    <w:rsid w:val="00931056"/>
    <w:rsid w:val="00931A7C"/>
    <w:rsid w:val="00933336"/>
    <w:rsid w:val="00933713"/>
    <w:rsid w:val="00933DA8"/>
    <w:rsid w:val="00934798"/>
    <w:rsid w:val="009349C5"/>
    <w:rsid w:val="00935142"/>
    <w:rsid w:val="0094105B"/>
    <w:rsid w:val="00941163"/>
    <w:rsid w:val="0094167C"/>
    <w:rsid w:val="00942439"/>
    <w:rsid w:val="00942918"/>
    <w:rsid w:val="0094455D"/>
    <w:rsid w:val="009446A9"/>
    <w:rsid w:val="00951728"/>
    <w:rsid w:val="00951C1C"/>
    <w:rsid w:val="00954E44"/>
    <w:rsid w:val="0095633E"/>
    <w:rsid w:val="0096029D"/>
    <w:rsid w:val="0096066A"/>
    <w:rsid w:val="009614B9"/>
    <w:rsid w:val="00961A52"/>
    <w:rsid w:val="00962F1A"/>
    <w:rsid w:val="00964986"/>
    <w:rsid w:val="009649E1"/>
    <w:rsid w:val="00964F7A"/>
    <w:rsid w:val="009654B6"/>
    <w:rsid w:val="00966EFE"/>
    <w:rsid w:val="009671B5"/>
    <w:rsid w:val="0096730E"/>
    <w:rsid w:val="00967976"/>
    <w:rsid w:val="0097065C"/>
    <w:rsid w:val="00970B74"/>
    <w:rsid w:val="00970EBA"/>
    <w:rsid w:val="00972754"/>
    <w:rsid w:val="00973683"/>
    <w:rsid w:val="009743A6"/>
    <w:rsid w:val="0097479F"/>
    <w:rsid w:val="009775B9"/>
    <w:rsid w:val="00977A0D"/>
    <w:rsid w:val="00980C79"/>
    <w:rsid w:val="009811AC"/>
    <w:rsid w:val="0098208D"/>
    <w:rsid w:val="00982A8C"/>
    <w:rsid w:val="00983296"/>
    <w:rsid w:val="0098367B"/>
    <w:rsid w:val="00984852"/>
    <w:rsid w:val="00985E02"/>
    <w:rsid w:val="009864DC"/>
    <w:rsid w:val="00990D0E"/>
    <w:rsid w:val="009925F9"/>
    <w:rsid w:val="00995D85"/>
    <w:rsid w:val="00997594"/>
    <w:rsid w:val="00997A46"/>
    <w:rsid w:val="009A11B6"/>
    <w:rsid w:val="009A1793"/>
    <w:rsid w:val="009A17F8"/>
    <w:rsid w:val="009A41BD"/>
    <w:rsid w:val="009A4B7E"/>
    <w:rsid w:val="009A7626"/>
    <w:rsid w:val="009B0FC4"/>
    <w:rsid w:val="009B0FE4"/>
    <w:rsid w:val="009B22DC"/>
    <w:rsid w:val="009B3B93"/>
    <w:rsid w:val="009B5BBF"/>
    <w:rsid w:val="009B75C8"/>
    <w:rsid w:val="009C65AB"/>
    <w:rsid w:val="009C65B5"/>
    <w:rsid w:val="009D2660"/>
    <w:rsid w:val="009D32EB"/>
    <w:rsid w:val="009D5201"/>
    <w:rsid w:val="009D62B2"/>
    <w:rsid w:val="009D7640"/>
    <w:rsid w:val="009D7ABD"/>
    <w:rsid w:val="009D7F1B"/>
    <w:rsid w:val="009E0186"/>
    <w:rsid w:val="009E065B"/>
    <w:rsid w:val="009E337E"/>
    <w:rsid w:val="009E38C6"/>
    <w:rsid w:val="009E61E7"/>
    <w:rsid w:val="009E7984"/>
    <w:rsid w:val="009F04E6"/>
    <w:rsid w:val="009F1853"/>
    <w:rsid w:val="009F3B25"/>
    <w:rsid w:val="009F44DB"/>
    <w:rsid w:val="009F6858"/>
    <w:rsid w:val="009F7103"/>
    <w:rsid w:val="009F7B88"/>
    <w:rsid w:val="00A00AA8"/>
    <w:rsid w:val="00A154CF"/>
    <w:rsid w:val="00A1592D"/>
    <w:rsid w:val="00A20C28"/>
    <w:rsid w:val="00A20FA3"/>
    <w:rsid w:val="00A2144E"/>
    <w:rsid w:val="00A21A32"/>
    <w:rsid w:val="00A21DB4"/>
    <w:rsid w:val="00A247BA"/>
    <w:rsid w:val="00A25199"/>
    <w:rsid w:val="00A26DCA"/>
    <w:rsid w:val="00A273B8"/>
    <w:rsid w:val="00A30A5D"/>
    <w:rsid w:val="00A32A7D"/>
    <w:rsid w:val="00A345C6"/>
    <w:rsid w:val="00A34932"/>
    <w:rsid w:val="00A359EC"/>
    <w:rsid w:val="00A40ABE"/>
    <w:rsid w:val="00A43B42"/>
    <w:rsid w:val="00A44050"/>
    <w:rsid w:val="00A440E2"/>
    <w:rsid w:val="00A44F8F"/>
    <w:rsid w:val="00A46EF6"/>
    <w:rsid w:val="00A50E52"/>
    <w:rsid w:val="00A51803"/>
    <w:rsid w:val="00A5429E"/>
    <w:rsid w:val="00A5546D"/>
    <w:rsid w:val="00A5567B"/>
    <w:rsid w:val="00A606C6"/>
    <w:rsid w:val="00A662D2"/>
    <w:rsid w:val="00A71AD0"/>
    <w:rsid w:val="00A71D77"/>
    <w:rsid w:val="00A72459"/>
    <w:rsid w:val="00A72BCE"/>
    <w:rsid w:val="00A72E77"/>
    <w:rsid w:val="00A72F7C"/>
    <w:rsid w:val="00A759F1"/>
    <w:rsid w:val="00A815D6"/>
    <w:rsid w:val="00A81BD7"/>
    <w:rsid w:val="00A82DA1"/>
    <w:rsid w:val="00A83C43"/>
    <w:rsid w:val="00A84270"/>
    <w:rsid w:val="00A856C8"/>
    <w:rsid w:val="00A86108"/>
    <w:rsid w:val="00A86D2D"/>
    <w:rsid w:val="00A8747D"/>
    <w:rsid w:val="00A87737"/>
    <w:rsid w:val="00A92112"/>
    <w:rsid w:val="00A96DBB"/>
    <w:rsid w:val="00A96FD5"/>
    <w:rsid w:val="00AA20A1"/>
    <w:rsid w:val="00AA218D"/>
    <w:rsid w:val="00AA33D0"/>
    <w:rsid w:val="00AA3D43"/>
    <w:rsid w:val="00AA4EA2"/>
    <w:rsid w:val="00AA73B7"/>
    <w:rsid w:val="00AB0AA2"/>
    <w:rsid w:val="00AB1DB7"/>
    <w:rsid w:val="00AB1F57"/>
    <w:rsid w:val="00AB2018"/>
    <w:rsid w:val="00AB2B27"/>
    <w:rsid w:val="00AB2B47"/>
    <w:rsid w:val="00AB3792"/>
    <w:rsid w:val="00AB421E"/>
    <w:rsid w:val="00AB55EE"/>
    <w:rsid w:val="00AB6895"/>
    <w:rsid w:val="00AB75F0"/>
    <w:rsid w:val="00AB7F52"/>
    <w:rsid w:val="00AC379E"/>
    <w:rsid w:val="00AC40FA"/>
    <w:rsid w:val="00AC4EE5"/>
    <w:rsid w:val="00AC4F39"/>
    <w:rsid w:val="00AC602C"/>
    <w:rsid w:val="00AC62F4"/>
    <w:rsid w:val="00AC65E6"/>
    <w:rsid w:val="00AC7082"/>
    <w:rsid w:val="00AC7175"/>
    <w:rsid w:val="00AC7ED4"/>
    <w:rsid w:val="00AD12BC"/>
    <w:rsid w:val="00AD3481"/>
    <w:rsid w:val="00AD3B09"/>
    <w:rsid w:val="00AD5040"/>
    <w:rsid w:val="00AD5CB6"/>
    <w:rsid w:val="00AD634D"/>
    <w:rsid w:val="00AE0DA9"/>
    <w:rsid w:val="00AE4D14"/>
    <w:rsid w:val="00AE663C"/>
    <w:rsid w:val="00AE70C1"/>
    <w:rsid w:val="00AE78DC"/>
    <w:rsid w:val="00AF07BD"/>
    <w:rsid w:val="00AF2275"/>
    <w:rsid w:val="00AF279C"/>
    <w:rsid w:val="00AF2DAC"/>
    <w:rsid w:val="00AF2E78"/>
    <w:rsid w:val="00AF40E3"/>
    <w:rsid w:val="00AF6E33"/>
    <w:rsid w:val="00B00681"/>
    <w:rsid w:val="00B00B24"/>
    <w:rsid w:val="00B01026"/>
    <w:rsid w:val="00B01DA0"/>
    <w:rsid w:val="00B06710"/>
    <w:rsid w:val="00B0680D"/>
    <w:rsid w:val="00B07099"/>
    <w:rsid w:val="00B13CC2"/>
    <w:rsid w:val="00B21EE8"/>
    <w:rsid w:val="00B23936"/>
    <w:rsid w:val="00B2668F"/>
    <w:rsid w:val="00B27316"/>
    <w:rsid w:val="00B30285"/>
    <w:rsid w:val="00B30364"/>
    <w:rsid w:val="00B31CAA"/>
    <w:rsid w:val="00B32AFD"/>
    <w:rsid w:val="00B34612"/>
    <w:rsid w:val="00B35FA7"/>
    <w:rsid w:val="00B3615B"/>
    <w:rsid w:val="00B37993"/>
    <w:rsid w:val="00B40D02"/>
    <w:rsid w:val="00B40EF3"/>
    <w:rsid w:val="00B413E2"/>
    <w:rsid w:val="00B41AE3"/>
    <w:rsid w:val="00B421A2"/>
    <w:rsid w:val="00B4485A"/>
    <w:rsid w:val="00B449DD"/>
    <w:rsid w:val="00B46D01"/>
    <w:rsid w:val="00B46FC2"/>
    <w:rsid w:val="00B47CCA"/>
    <w:rsid w:val="00B50599"/>
    <w:rsid w:val="00B51329"/>
    <w:rsid w:val="00B528B9"/>
    <w:rsid w:val="00B52E6E"/>
    <w:rsid w:val="00B53DE1"/>
    <w:rsid w:val="00B55E3F"/>
    <w:rsid w:val="00B561BE"/>
    <w:rsid w:val="00B57881"/>
    <w:rsid w:val="00B60755"/>
    <w:rsid w:val="00B61BB6"/>
    <w:rsid w:val="00B62483"/>
    <w:rsid w:val="00B635A4"/>
    <w:rsid w:val="00B63E30"/>
    <w:rsid w:val="00B655F6"/>
    <w:rsid w:val="00B65728"/>
    <w:rsid w:val="00B65F09"/>
    <w:rsid w:val="00B679D8"/>
    <w:rsid w:val="00B67B39"/>
    <w:rsid w:val="00B72623"/>
    <w:rsid w:val="00B74C6F"/>
    <w:rsid w:val="00B7747D"/>
    <w:rsid w:val="00B8034F"/>
    <w:rsid w:val="00B8529E"/>
    <w:rsid w:val="00B85DF4"/>
    <w:rsid w:val="00B94EC0"/>
    <w:rsid w:val="00B9525D"/>
    <w:rsid w:val="00B9540E"/>
    <w:rsid w:val="00B9567D"/>
    <w:rsid w:val="00B95A97"/>
    <w:rsid w:val="00B9776D"/>
    <w:rsid w:val="00BA14E2"/>
    <w:rsid w:val="00BA168F"/>
    <w:rsid w:val="00BA51FC"/>
    <w:rsid w:val="00BB15E7"/>
    <w:rsid w:val="00BB2B69"/>
    <w:rsid w:val="00BB31A0"/>
    <w:rsid w:val="00BB35AF"/>
    <w:rsid w:val="00BB3A50"/>
    <w:rsid w:val="00BB474F"/>
    <w:rsid w:val="00BB564F"/>
    <w:rsid w:val="00BB64FB"/>
    <w:rsid w:val="00BB7463"/>
    <w:rsid w:val="00BB795D"/>
    <w:rsid w:val="00BC5501"/>
    <w:rsid w:val="00BC609C"/>
    <w:rsid w:val="00BC6B06"/>
    <w:rsid w:val="00BD2939"/>
    <w:rsid w:val="00BD3EC7"/>
    <w:rsid w:val="00BD6A4A"/>
    <w:rsid w:val="00BE00E0"/>
    <w:rsid w:val="00BE053D"/>
    <w:rsid w:val="00BE131C"/>
    <w:rsid w:val="00BE1DD2"/>
    <w:rsid w:val="00BE2E31"/>
    <w:rsid w:val="00BE3AAA"/>
    <w:rsid w:val="00BE5F4C"/>
    <w:rsid w:val="00BE6639"/>
    <w:rsid w:val="00BE73CA"/>
    <w:rsid w:val="00BE79FD"/>
    <w:rsid w:val="00BE7BA8"/>
    <w:rsid w:val="00BF0C2C"/>
    <w:rsid w:val="00BF10F1"/>
    <w:rsid w:val="00BF1512"/>
    <w:rsid w:val="00BF27C6"/>
    <w:rsid w:val="00BF28D4"/>
    <w:rsid w:val="00BF76B6"/>
    <w:rsid w:val="00C01176"/>
    <w:rsid w:val="00C012E7"/>
    <w:rsid w:val="00C02648"/>
    <w:rsid w:val="00C028D8"/>
    <w:rsid w:val="00C0305C"/>
    <w:rsid w:val="00C03337"/>
    <w:rsid w:val="00C033B6"/>
    <w:rsid w:val="00C03EA4"/>
    <w:rsid w:val="00C04233"/>
    <w:rsid w:val="00C0637F"/>
    <w:rsid w:val="00C07143"/>
    <w:rsid w:val="00C07D05"/>
    <w:rsid w:val="00C1056B"/>
    <w:rsid w:val="00C10868"/>
    <w:rsid w:val="00C10B8E"/>
    <w:rsid w:val="00C1230B"/>
    <w:rsid w:val="00C127DE"/>
    <w:rsid w:val="00C14710"/>
    <w:rsid w:val="00C1554F"/>
    <w:rsid w:val="00C15F9B"/>
    <w:rsid w:val="00C170EC"/>
    <w:rsid w:val="00C20D88"/>
    <w:rsid w:val="00C20F27"/>
    <w:rsid w:val="00C212E7"/>
    <w:rsid w:val="00C22839"/>
    <w:rsid w:val="00C2588B"/>
    <w:rsid w:val="00C308C9"/>
    <w:rsid w:val="00C3093A"/>
    <w:rsid w:val="00C31197"/>
    <w:rsid w:val="00C31F26"/>
    <w:rsid w:val="00C321B3"/>
    <w:rsid w:val="00C33FE1"/>
    <w:rsid w:val="00C4045D"/>
    <w:rsid w:val="00C43F2A"/>
    <w:rsid w:val="00C45A52"/>
    <w:rsid w:val="00C4692A"/>
    <w:rsid w:val="00C50507"/>
    <w:rsid w:val="00C51C4B"/>
    <w:rsid w:val="00C531C2"/>
    <w:rsid w:val="00C55F5A"/>
    <w:rsid w:val="00C616DE"/>
    <w:rsid w:val="00C62325"/>
    <w:rsid w:val="00C6450E"/>
    <w:rsid w:val="00C646FB"/>
    <w:rsid w:val="00C650F1"/>
    <w:rsid w:val="00C65B64"/>
    <w:rsid w:val="00C7058F"/>
    <w:rsid w:val="00C70B5B"/>
    <w:rsid w:val="00C70DFF"/>
    <w:rsid w:val="00C734FD"/>
    <w:rsid w:val="00C74C8E"/>
    <w:rsid w:val="00C75FA0"/>
    <w:rsid w:val="00C773D5"/>
    <w:rsid w:val="00C84025"/>
    <w:rsid w:val="00C84F25"/>
    <w:rsid w:val="00C87940"/>
    <w:rsid w:val="00C87B1B"/>
    <w:rsid w:val="00C9196C"/>
    <w:rsid w:val="00C92583"/>
    <w:rsid w:val="00C95233"/>
    <w:rsid w:val="00C957A8"/>
    <w:rsid w:val="00C96B13"/>
    <w:rsid w:val="00C97322"/>
    <w:rsid w:val="00C973A3"/>
    <w:rsid w:val="00C97B39"/>
    <w:rsid w:val="00C97D93"/>
    <w:rsid w:val="00CA1F27"/>
    <w:rsid w:val="00CA3D58"/>
    <w:rsid w:val="00CA542D"/>
    <w:rsid w:val="00CA54D8"/>
    <w:rsid w:val="00CA5A07"/>
    <w:rsid w:val="00CA5ACE"/>
    <w:rsid w:val="00CA736E"/>
    <w:rsid w:val="00CA7E43"/>
    <w:rsid w:val="00CB19B1"/>
    <w:rsid w:val="00CB2FD6"/>
    <w:rsid w:val="00CB3302"/>
    <w:rsid w:val="00CB3597"/>
    <w:rsid w:val="00CB3D37"/>
    <w:rsid w:val="00CB40B4"/>
    <w:rsid w:val="00CB54F7"/>
    <w:rsid w:val="00CB555A"/>
    <w:rsid w:val="00CB5CD9"/>
    <w:rsid w:val="00CC0FA6"/>
    <w:rsid w:val="00CC317D"/>
    <w:rsid w:val="00CC3302"/>
    <w:rsid w:val="00CC4CEB"/>
    <w:rsid w:val="00CC58F9"/>
    <w:rsid w:val="00CC6670"/>
    <w:rsid w:val="00CC730D"/>
    <w:rsid w:val="00CC7CCB"/>
    <w:rsid w:val="00CD062E"/>
    <w:rsid w:val="00CD0AB2"/>
    <w:rsid w:val="00CD0E6D"/>
    <w:rsid w:val="00CD1107"/>
    <w:rsid w:val="00CD1CA6"/>
    <w:rsid w:val="00CD215E"/>
    <w:rsid w:val="00CD2E17"/>
    <w:rsid w:val="00CD311D"/>
    <w:rsid w:val="00CD40C7"/>
    <w:rsid w:val="00CD5D07"/>
    <w:rsid w:val="00CD6BD3"/>
    <w:rsid w:val="00CD7A8F"/>
    <w:rsid w:val="00CE2B91"/>
    <w:rsid w:val="00CE3CF7"/>
    <w:rsid w:val="00CE58B5"/>
    <w:rsid w:val="00CE5CB3"/>
    <w:rsid w:val="00CE6D07"/>
    <w:rsid w:val="00CE725D"/>
    <w:rsid w:val="00CE75A1"/>
    <w:rsid w:val="00CE7683"/>
    <w:rsid w:val="00CF0609"/>
    <w:rsid w:val="00CF216E"/>
    <w:rsid w:val="00CF4203"/>
    <w:rsid w:val="00CF4790"/>
    <w:rsid w:val="00CF5698"/>
    <w:rsid w:val="00CF592D"/>
    <w:rsid w:val="00D00796"/>
    <w:rsid w:val="00D009EC"/>
    <w:rsid w:val="00D0243F"/>
    <w:rsid w:val="00D04C8F"/>
    <w:rsid w:val="00D04E16"/>
    <w:rsid w:val="00D0698B"/>
    <w:rsid w:val="00D07D44"/>
    <w:rsid w:val="00D103AF"/>
    <w:rsid w:val="00D11667"/>
    <w:rsid w:val="00D12480"/>
    <w:rsid w:val="00D14A4A"/>
    <w:rsid w:val="00D1521F"/>
    <w:rsid w:val="00D15A8A"/>
    <w:rsid w:val="00D1613C"/>
    <w:rsid w:val="00D17233"/>
    <w:rsid w:val="00D20073"/>
    <w:rsid w:val="00D20627"/>
    <w:rsid w:val="00D2078F"/>
    <w:rsid w:val="00D20ED9"/>
    <w:rsid w:val="00D356B5"/>
    <w:rsid w:val="00D42011"/>
    <w:rsid w:val="00D438B7"/>
    <w:rsid w:val="00D44093"/>
    <w:rsid w:val="00D45B8E"/>
    <w:rsid w:val="00D45FEF"/>
    <w:rsid w:val="00D46DE4"/>
    <w:rsid w:val="00D5009F"/>
    <w:rsid w:val="00D51916"/>
    <w:rsid w:val="00D548C8"/>
    <w:rsid w:val="00D54A29"/>
    <w:rsid w:val="00D555FD"/>
    <w:rsid w:val="00D559BE"/>
    <w:rsid w:val="00D560BA"/>
    <w:rsid w:val="00D60A4B"/>
    <w:rsid w:val="00D6346B"/>
    <w:rsid w:val="00D63DA7"/>
    <w:rsid w:val="00D64566"/>
    <w:rsid w:val="00D64D59"/>
    <w:rsid w:val="00D653FF"/>
    <w:rsid w:val="00D657ED"/>
    <w:rsid w:val="00D7253F"/>
    <w:rsid w:val="00D72B15"/>
    <w:rsid w:val="00D7508C"/>
    <w:rsid w:val="00D754E7"/>
    <w:rsid w:val="00D75B2D"/>
    <w:rsid w:val="00D77118"/>
    <w:rsid w:val="00D8001A"/>
    <w:rsid w:val="00D80A8D"/>
    <w:rsid w:val="00D820D0"/>
    <w:rsid w:val="00D8441F"/>
    <w:rsid w:val="00D84E0B"/>
    <w:rsid w:val="00D858BE"/>
    <w:rsid w:val="00D87BF8"/>
    <w:rsid w:val="00D912D5"/>
    <w:rsid w:val="00D92327"/>
    <w:rsid w:val="00D92DAB"/>
    <w:rsid w:val="00D93055"/>
    <w:rsid w:val="00D9477C"/>
    <w:rsid w:val="00D949AA"/>
    <w:rsid w:val="00D95DB1"/>
    <w:rsid w:val="00DA0484"/>
    <w:rsid w:val="00DA3A3D"/>
    <w:rsid w:val="00DA4FF1"/>
    <w:rsid w:val="00DA6013"/>
    <w:rsid w:val="00DA70C4"/>
    <w:rsid w:val="00DA7C6D"/>
    <w:rsid w:val="00DB015A"/>
    <w:rsid w:val="00DB2565"/>
    <w:rsid w:val="00DB27E9"/>
    <w:rsid w:val="00DB3E4B"/>
    <w:rsid w:val="00DB6291"/>
    <w:rsid w:val="00DB645C"/>
    <w:rsid w:val="00DB71CF"/>
    <w:rsid w:val="00DB7B4D"/>
    <w:rsid w:val="00DB7F6D"/>
    <w:rsid w:val="00DC1872"/>
    <w:rsid w:val="00DC1EA8"/>
    <w:rsid w:val="00DC4436"/>
    <w:rsid w:val="00DC6069"/>
    <w:rsid w:val="00DC61C6"/>
    <w:rsid w:val="00DC69A0"/>
    <w:rsid w:val="00DC6D72"/>
    <w:rsid w:val="00DD0EDE"/>
    <w:rsid w:val="00DD1414"/>
    <w:rsid w:val="00DD16EB"/>
    <w:rsid w:val="00DD4751"/>
    <w:rsid w:val="00DD6456"/>
    <w:rsid w:val="00DD6C8A"/>
    <w:rsid w:val="00DD7201"/>
    <w:rsid w:val="00DD78D8"/>
    <w:rsid w:val="00DD7F06"/>
    <w:rsid w:val="00DE1494"/>
    <w:rsid w:val="00DE243A"/>
    <w:rsid w:val="00DE3D21"/>
    <w:rsid w:val="00DE4F38"/>
    <w:rsid w:val="00DE7705"/>
    <w:rsid w:val="00DF2A9F"/>
    <w:rsid w:val="00DF62C5"/>
    <w:rsid w:val="00E0178D"/>
    <w:rsid w:val="00E029AF"/>
    <w:rsid w:val="00E030DF"/>
    <w:rsid w:val="00E03228"/>
    <w:rsid w:val="00E03E78"/>
    <w:rsid w:val="00E0459B"/>
    <w:rsid w:val="00E04F38"/>
    <w:rsid w:val="00E05522"/>
    <w:rsid w:val="00E05CBC"/>
    <w:rsid w:val="00E07975"/>
    <w:rsid w:val="00E13A0F"/>
    <w:rsid w:val="00E14C9F"/>
    <w:rsid w:val="00E15585"/>
    <w:rsid w:val="00E177F6"/>
    <w:rsid w:val="00E17F46"/>
    <w:rsid w:val="00E216D1"/>
    <w:rsid w:val="00E218A5"/>
    <w:rsid w:val="00E21DD3"/>
    <w:rsid w:val="00E21E09"/>
    <w:rsid w:val="00E24EF4"/>
    <w:rsid w:val="00E25BB7"/>
    <w:rsid w:val="00E2648E"/>
    <w:rsid w:val="00E3354A"/>
    <w:rsid w:val="00E336CE"/>
    <w:rsid w:val="00E34175"/>
    <w:rsid w:val="00E346AD"/>
    <w:rsid w:val="00E3654F"/>
    <w:rsid w:val="00E36771"/>
    <w:rsid w:val="00E36EF0"/>
    <w:rsid w:val="00E41E7E"/>
    <w:rsid w:val="00E435C8"/>
    <w:rsid w:val="00E43706"/>
    <w:rsid w:val="00E458E4"/>
    <w:rsid w:val="00E4773C"/>
    <w:rsid w:val="00E477AE"/>
    <w:rsid w:val="00E47CA9"/>
    <w:rsid w:val="00E50143"/>
    <w:rsid w:val="00E5189C"/>
    <w:rsid w:val="00E52168"/>
    <w:rsid w:val="00E5229A"/>
    <w:rsid w:val="00E536F3"/>
    <w:rsid w:val="00E541A3"/>
    <w:rsid w:val="00E54A1C"/>
    <w:rsid w:val="00E55071"/>
    <w:rsid w:val="00E556EB"/>
    <w:rsid w:val="00E57382"/>
    <w:rsid w:val="00E57D57"/>
    <w:rsid w:val="00E61ABF"/>
    <w:rsid w:val="00E6321A"/>
    <w:rsid w:val="00E639F9"/>
    <w:rsid w:val="00E64D58"/>
    <w:rsid w:val="00E65308"/>
    <w:rsid w:val="00E6583F"/>
    <w:rsid w:val="00E660AE"/>
    <w:rsid w:val="00E665E2"/>
    <w:rsid w:val="00E66811"/>
    <w:rsid w:val="00E709B3"/>
    <w:rsid w:val="00E70AA5"/>
    <w:rsid w:val="00E7194B"/>
    <w:rsid w:val="00E71D16"/>
    <w:rsid w:val="00E73076"/>
    <w:rsid w:val="00E7349A"/>
    <w:rsid w:val="00E741C1"/>
    <w:rsid w:val="00E76808"/>
    <w:rsid w:val="00E77A2C"/>
    <w:rsid w:val="00E806D5"/>
    <w:rsid w:val="00E80D32"/>
    <w:rsid w:val="00E81447"/>
    <w:rsid w:val="00E83625"/>
    <w:rsid w:val="00E83C56"/>
    <w:rsid w:val="00E856A4"/>
    <w:rsid w:val="00E85C42"/>
    <w:rsid w:val="00E86180"/>
    <w:rsid w:val="00E867F9"/>
    <w:rsid w:val="00E86C7F"/>
    <w:rsid w:val="00E86F24"/>
    <w:rsid w:val="00E90B06"/>
    <w:rsid w:val="00E93E63"/>
    <w:rsid w:val="00E941A1"/>
    <w:rsid w:val="00E959F1"/>
    <w:rsid w:val="00E95B1F"/>
    <w:rsid w:val="00E97DC7"/>
    <w:rsid w:val="00EA0D7E"/>
    <w:rsid w:val="00EA2C17"/>
    <w:rsid w:val="00EB0B22"/>
    <w:rsid w:val="00EB0B5C"/>
    <w:rsid w:val="00EB16EA"/>
    <w:rsid w:val="00EB2E0D"/>
    <w:rsid w:val="00EB3FB3"/>
    <w:rsid w:val="00EB5581"/>
    <w:rsid w:val="00EB63FB"/>
    <w:rsid w:val="00EB7A00"/>
    <w:rsid w:val="00EC047A"/>
    <w:rsid w:val="00EC0AA5"/>
    <w:rsid w:val="00EC1122"/>
    <w:rsid w:val="00EC389F"/>
    <w:rsid w:val="00EC46F1"/>
    <w:rsid w:val="00EC64CC"/>
    <w:rsid w:val="00ED029F"/>
    <w:rsid w:val="00ED4420"/>
    <w:rsid w:val="00ED50EA"/>
    <w:rsid w:val="00ED537B"/>
    <w:rsid w:val="00ED607C"/>
    <w:rsid w:val="00ED6B20"/>
    <w:rsid w:val="00ED76AD"/>
    <w:rsid w:val="00EE38BF"/>
    <w:rsid w:val="00EE41AF"/>
    <w:rsid w:val="00EE5B48"/>
    <w:rsid w:val="00EE5DC0"/>
    <w:rsid w:val="00EE6553"/>
    <w:rsid w:val="00EE7F33"/>
    <w:rsid w:val="00EF0645"/>
    <w:rsid w:val="00EF2285"/>
    <w:rsid w:val="00EF25A7"/>
    <w:rsid w:val="00EF316B"/>
    <w:rsid w:val="00EF386F"/>
    <w:rsid w:val="00EF38A5"/>
    <w:rsid w:val="00EF524E"/>
    <w:rsid w:val="00EF7381"/>
    <w:rsid w:val="00F00EA5"/>
    <w:rsid w:val="00F019CE"/>
    <w:rsid w:val="00F01AEC"/>
    <w:rsid w:val="00F01EAE"/>
    <w:rsid w:val="00F023AA"/>
    <w:rsid w:val="00F02C4E"/>
    <w:rsid w:val="00F02E3A"/>
    <w:rsid w:val="00F04069"/>
    <w:rsid w:val="00F063BC"/>
    <w:rsid w:val="00F100C3"/>
    <w:rsid w:val="00F118CE"/>
    <w:rsid w:val="00F121AE"/>
    <w:rsid w:val="00F1632B"/>
    <w:rsid w:val="00F16C8E"/>
    <w:rsid w:val="00F17321"/>
    <w:rsid w:val="00F20294"/>
    <w:rsid w:val="00F20B5E"/>
    <w:rsid w:val="00F212AE"/>
    <w:rsid w:val="00F249B6"/>
    <w:rsid w:val="00F24B14"/>
    <w:rsid w:val="00F25E10"/>
    <w:rsid w:val="00F26AD2"/>
    <w:rsid w:val="00F30F8A"/>
    <w:rsid w:val="00F34ACB"/>
    <w:rsid w:val="00F352A3"/>
    <w:rsid w:val="00F35318"/>
    <w:rsid w:val="00F35E1F"/>
    <w:rsid w:val="00F3642C"/>
    <w:rsid w:val="00F37100"/>
    <w:rsid w:val="00F3755A"/>
    <w:rsid w:val="00F40C3C"/>
    <w:rsid w:val="00F41028"/>
    <w:rsid w:val="00F451EC"/>
    <w:rsid w:val="00F45978"/>
    <w:rsid w:val="00F45D88"/>
    <w:rsid w:val="00F45F3A"/>
    <w:rsid w:val="00F47CFE"/>
    <w:rsid w:val="00F51826"/>
    <w:rsid w:val="00F54320"/>
    <w:rsid w:val="00F54ADE"/>
    <w:rsid w:val="00F559B7"/>
    <w:rsid w:val="00F5697F"/>
    <w:rsid w:val="00F5786B"/>
    <w:rsid w:val="00F6040D"/>
    <w:rsid w:val="00F60DD5"/>
    <w:rsid w:val="00F6196F"/>
    <w:rsid w:val="00F6217E"/>
    <w:rsid w:val="00F6408E"/>
    <w:rsid w:val="00F65EAC"/>
    <w:rsid w:val="00F667CB"/>
    <w:rsid w:val="00F70C31"/>
    <w:rsid w:val="00F71EFE"/>
    <w:rsid w:val="00F732A2"/>
    <w:rsid w:val="00F74364"/>
    <w:rsid w:val="00F76429"/>
    <w:rsid w:val="00F76649"/>
    <w:rsid w:val="00F76824"/>
    <w:rsid w:val="00F774D8"/>
    <w:rsid w:val="00F77647"/>
    <w:rsid w:val="00F77E19"/>
    <w:rsid w:val="00F80E8D"/>
    <w:rsid w:val="00F810CD"/>
    <w:rsid w:val="00F83487"/>
    <w:rsid w:val="00F83879"/>
    <w:rsid w:val="00F840F6"/>
    <w:rsid w:val="00F91773"/>
    <w:rsid w:val="00F91B3C"/>
    <w:rsid w:val="00F93946"/>
    <w:rsid w:val="00F94152"/>
    <w:rsid w:val="00F96522"/>
    <w:rsid w:val="00F97A4E"/>
    <w:rsid w:val="00FA392F"/>
    <w:rsid w:val="00FA48D4"/>
    <w:rsid w:val="00FA4B3F"/>
    <w:rsid w:val="00FA5018"/>
    <w:rsid w:val="00FA6F85"/>
    <w:rsid w:val="00FB52D4"/>
    <w:rsid w:val="00FB5F3E"/>
    <w:rsid w:val="00FB71DA"/>
    <w:rsid w:val="00FB7A70"/>
    <w:rsid w:val="00FC0669"/>
    <w:rsid w:val="00FC14A3"/>
    <w:rsid w:val="00FC218E"/>
    <w:rsid w:val="00FC3189"/>
    <w:rsid w:val="00FC3A9C"/>
    <w:rsid w:val="00FC453B"/>
    <w:rsid w:val="00FC46B5"/>
    <w:rsid w:val="00FC6E25"/>
    <w:rsid w:val="00FD16E7"/>
    <w:rsid w:val="00FD3C61"/>
    <w:rsid w:val="00FD6969"/>
    <w:rsid w:val="00FD6AFB"/>
    <w:rsid w:val="00FD6CBF"/>
    <w:rsid w:val="00FE01AE"/>
    <w:rsid w:val="00FE067A"/>
    <w:rsid w:val="00FE1058"/>
    <w:rsid w:val="00FE211B"/>
    <w:rsid w:val="00FE2EF4"/>
    <w:rsid w:val="00FE413A"/>
    <w:rsid w:val="00FE44C6"/>
    <w:rsid w:val="00FE57D8"/>
    <w:rsid w:val="00FE7848"/>
    <w:rsid w:val="00FE7B83"/>
    <w:rsid w:val="00FF1E2E"/>
    <w:rsid w:val="00FF3719"/>
    <w:rsid w:val="00FF4EFB"/>
    <w:rsid w:val="00FF52C1"/>
    <w:rsid w:val="00FF5300"/>
    <w:rsid w:val="00FF6457"/>
    <w:rsid w:val="00FF6E18"/>
    <w:rsid w:val="00FF7EDA"/>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4F"/>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68651D"/>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qFormat/>
    <w:rsid w:val="00890E2B"/>
    <w:pPr>
      <w:keepNext/>
      <w:spacing w:after="0" w:line="240" w:lineRule="auto"/>
      <w:jc w:val="center"/>
      <w:outlineLvl w:val="1"/>
    </w:pPr>
    <w:rPr>
      <w:rFonts w:ascii="Times New Roman" w:eastAsia="Times New Roman" w:hAnsi="Times New Roman"/>
      <w:b/>
      <w:sz w:val="28"/>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E6D8A"/>
    <w:pPr>
      <w:tabs>
        <w:tab w:val="center" w:pos="4844"/>
        <w:tab w:val="right" w:pos="9689"/>
      </w:tabs>
      <w:spacing w:after="0" w:line="240" w:lineRule="auto"/>
    </w:pPr>
  </w:style>
  <w:style w:type="character" w:customStyle="1" w:styleId="HeaderChar">
    <w:name w:val="Header Char"/>
    <w:basedOn w:val="DefaultParagraphFont"/>
    <w:link w:val="Header"/>
    <w:rsid w:val="004E6D8A"/>
  </w:style>
  <w:style w:type="paragraph" w:styleId="Footer">
    <w:name w:val="footer"/>
    <w:basedOn w:val="Normal"/>
    <w:link w:val="FooterChar"/>
    <w:uiPriority w:val="99"/>
    <w:unhideWhenUsed/>
    <w:rsid w:val="004E6D8A"/>
    <w:pPr>
      <w:tabs>
        <w:tab w:val="center" w:pos="4844"/>
        <w:tab w:val="right" w:pos="9689"/>
      </w:tabs>
      <w:spacing w:after="0" w:line="240" w:lineRule="auto"/>
    </w:pPr>
  </w:style>
  <w:style w:type="character" w:customStyle="1" w:styleId="FooterChar">
    <w:name w:val="Footer Char"/>
    <w:basedOn w:val="DefaultParagraphFont"/>
    <w:link w:val="Footer"/>
    <w:uiPriority w:val="99"/>
    <w:rsid w:val="004E6D8A"/>
  </w:style>
  <w:style w:type="paragraph" w:styleId="BalloonText">
    <w:name w:val="Balloon Text"/>
    <w:basedOn w:val="Normal"/>
    <w:link w:val="BalloonTextChar"/>
    <w:semiHidden/>
    <w:unhideWhenUsed/>
    <w:rsid w:val="00CD40C7"/>
    <w:pPr>
      <w:spacing w:after="0" w:line="240" w:lineRule="auto"/>
    </w:pPr>
    <w:rPr>
      <w:rFonts w:ascii="Segoe UI" w:hAnsi="Segoe UI" w:cs="Segoe UI"/>
      <w:sz w:val="18"/>
      <w:szCs w:val="18"/>
    </w:rPr>
  </w:style>
  <w:style w:type="character" w:customStyle="1" w:styleId="BalloonTextChar">
    <w:name w:val="Balloon Text Char"/>
    <w:link w:val="BalloonText"/>
    <w:semiHidden/>
    <w:rsid w:val="00CD40C7"/>
    <w:rPr>
      <w:rFonts w:ascii="Segoe UI" w:hAnsi="Segoe UI" w:cs="Segoe UI"/>
      <w:sz w:val="18"/>
      <w:szCs w:val="18"/>
    </w:rPr>
  </w:style>
  <w:style w:type="paragraph" w:customStyle="1" w:styleId="rg">
    <w:name w:val="rg"/>
    <w:basedOn w:val="Normal"/>
    <w:rsid w:val="004E6D8A"/>
    <w:pPr>
      <w:spacing w:before="100" w:beforeAutospacing="1" w:after="100" w:afterAutospacing="1" w:line="240" w:lineRule="auto"/>
    </w:pPr>
    <w:rPr>
      <w:rFonts w:ascii="Times New Roman" w:eastAsia="Times New Roman" w:hAnsi="Times New Roman"/>
      <w:sz w:val="24"/>
      <w:szCs w:val="24"/>
    </w:rPr>
  </w:style>
  <w:style w:type="paragraph" w:customStyle="1" w:styleId="IASBSectionTitle2NonInd">
    <w:name w:val="IASB Section Title 2 NonInd"/>
    <w:basedOn w:val="Normal"/>
    <w:rsid w:val="00BA168F"/>
    <w:pPr>
      <w:keepNext/>
      <w:keepLines/>
      <w:spacing w:before="300" w:after="200" w:line="240" w:lineRule="auto"/>
    </w:pPr>
    <w:rPr>
      <w:rFonts w:ascii="Arial" w:eastAsia="Times New Roman" w:hAnsi="Arial" w:cs="Arial"/>
      <w:b/>
      <w:sz w:val="26"/>
      <w:szCs w:val="20"/>
      <w:lang w:val="ro-RO" w:eastAsia="ro-RO"/>
    </w:rPr>
  </w:style>
  <w:style w:type="paragraph" w:customStyle="1" w:styleId="tt">
    <w:name w:val="tt"/>
    <w:basedOn w:val="Normal"/>
    <w:rsid w:val="006217B4"/>
    <w:pPr>
      <w:spacing w:before="100" w:beforeAutospacing="1" w:after="100" w:afterAutospacing="1" w:line="240" w:lineRule="auto"/>
    </w:pPr>
    <w:rPr>
      <w:rFonts w:ascii="Times New Roman" w:eastAsia="Times New Roman" w:hAnsi="Times New Roman"/>
      <w:sz w:val="24"/>
      <w:szCs w:val="24"/>
    </w:rPr>
  </w:style>
  <w:style w:type="paragraph" w:customStyle="1" w:styleId="msonormal0">
    <w:name w:val="msonormal"/>
    <w:basedOn w:val="Normal"/>
    <w:rsid w:val="00060560"/>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060560"/>
    <w:pPr>
      <w:spacing w:before="100" w:beforeAutospacing="1" w:after="100" w:afterAutospacing="1" w:line="240" w:lineRule="auto"/>
    </w:pPr>
    <w:rPr>
      <w:rFonts w:ascii="Times New Roman" w:eastAsia="Times New Roman" w:hAnsi="Times New Roman"/>
      <w:sz w:val="24"/>
      <w:szCs w:val="24"/>
    </w:rPr>
  </w:style>
  <w:style w:type="paragraph" w:customStyle="1" w:styleId="cp">
    <w:name w:val="cp"/>
    <w:basedOn w:val="Normal"/>
    <w:rsid w:val="00060560"/>
    <w:pPr>
      <w:spacing w:before="100" w:beforeAutospacing="1" w:after="100" w:afterAutospacing="1" w:line="240" w:lineRule="auto"/>
    </w:pPr>
    <w:rPr>
      <w:rFonts w:ascii="Times New Roman" w:eastAsia="Times New Roman" w:hAnsi="Times New Roman"/>
      <w:sz w:val="24"/>
      <w:szCs w:val="24"/>
    </w:rPr>
  </w:style>
  <w:style w:type="paragraph" w:customStyle="1" w:styleId="md">
    <w:name w:val="md"/>
    <w:basedOn w:val="Normal"/>
    <w:rsid w:val="00060560"/>
    <w:pPr>
      <w:spacing w:before="100" w:beforeAutospacing="1" w:after="100" w:afterAutospacing="1" w:line="240" w:lineRule="auto"/>
    </w:pPr>
    <w:rPr>
      <w:rFonts w:ascii="Times New Roman" w:eastAsia="Times New Roman" w:hAnsi="Times New Roman"/>
      <w:sz w:val="24"/>
      <w:szCs w:val="24"/>
    </w:rPr>
  </w:style>
  <w:style w:type="paragraph" w:customStyle="1" w:styleId="cb">
    <w:name w:val="cb"/>
    <w:basedOn w:val="Normal"/>
    <w:rsid w:val="00060560"/>
    <w:pPr>
      <w:spacing w:before="100" w:beforeAutospacing="1" w:after="100" w:afterAutospacing="1" w:line="240" w:lineRule="auto"/>
    </w:pPr>
    <w:rPr>
      <w:rFonts w:ascii="Times New Roman" w:eastAsia="Times New Roman" w:hAnsi="Times New Roman"/>
      <w:sz w:val="24"/>
      <w:szCs w:val="24"/>
    </w:rPr>
  </w:style>
  <w:style w:type="paragraph" w:customStyle="1" w:styleId="cn">
    <w:name w:val="cn"/>
    <w:basedOn w:val="Normal"/>
    <w:rsid w:val="00060560"/>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link w:val="Heading2"/>
    <w:rsid w:val="00890E2B"/>
    <w:rPr>
      <w:rFonts w:ascii="Times New Roman" w:eastAsia="Times New Roman" w:hAnsi="Times New Roman" w:cs="Times New Roman"/>
      <w:b/>
      <w:sz w:val="28"/>
      <w:szCs w:val="24"/>
      <w:lang w:val="ro-RO"/>
    </w:rPr>
  </w:style>
  <w:style w:type="paragraph" w:styleId="Title">
    <w:name w:val="Title"/>
    <w:basedOn w:val="Normal"/>
    <w:link w:val="TitleChar"/>
    <w:qFormat/>
    <w:rsid w:val="00890E2B"/>
    <w:pPr>
      <w:spacing w:after="0" w:line="240" w:lineRule="auto"/>
      <w:jc w:val="center"/>
    </w:pPr>
    <w:rPr>
      <w:rFonts w:ascii="Times New Roman" w:eastAsia="Times New Roman" w:hAnsi="Times New Roman"/>
      <w:b/>
      <w:sz w:val="28"/>
      <w:szCs w:val="24"/>
      <w:lang w:val="en-GB"/>
    </w:rPr>
  </w:style>
  <w:style w:type="character" w:customStyle="1" w:styleId="TitleChar">
    <w:name w:val="Title Char"/>
    <w:link w:val="Title"/>
    <w:rsid w:val="00890E2B"/>
    <w:rPr>
      <w:rFonts w:ascii="Times New Roman" w:eastAsia="Times New Roman" w:hAnsi="Times New Roman" w:cs="Times New Roman"/>
      <w:b/>
      <w:sz w:val="28"/>
      <w:szCs w:val="24"/>
      <w:lang w:val="en-GB"/>
    </w:rPr>
  </w:style>
  <w:style w:type="paragraph" w:styleId="ListParagraph">
    <w:name w:val="List Paragraph"/>
    <w:basedOn w:val="Normal"/>
    <w:uiPriority w:val="34"/>
    <w:qFormat/>
    <w:rsid w:val="00890E2B"/>
    <w:pPr>
      <w:spacing w:after="0" w:line="240" w:lineRule="auto"/>
      <w:ind w:left="720"/>
      <w:contextualSpacing/>
    </w:pPr>
    <w:rPr>
      <w:rFonts w:ascii="Times New Roman" w:eastAsia="Times New Roman" w:hAnsi="Times New Roman"/>
      <w:sz w:val="24"/>
      <w:szCs w:val="24"/>
      <w:lang w:val="en-GB"/>
    </w:rPr>
  </w:style>
  <w:style w:type="character" w:styleId="Strong">
    <w:name w:val="Strong"/>
    <w:uiPriority w:val="22"/>
    <w:qFormat/>
    <w:rsid w:val="00890E2B"/>
    <w:rPr>
      <w:b/>
      <w:bCs/>
    </w:rPr>
  </w:style>
  <w:style w:type="character" w:styleId="Emphasis">
    <w:name w:val="Emphasis"/>
    <w:qFormat/>
    <w:rsid w:val="00890E2B"/>
    <w:rPr>
      <w:i/>
      <w:iCs/>
    </w:rPr>
  </w:style>
  <w:style w:type="character" w:styleId="CommentReference">
    <w:name w:val="annotation reference"/>
    <w:semiHidden/>
    <w:unhideWhenUsed/>
    <w:rsid w:val="00890E2B"/>
    <w:rPr>
      <w:sz w:val="16"/>
      <w:szCs w:val="16"/>
    </w:rPr>
  </w:style>
  <w:style w:type="paragraph" w:styleId="CommentText">
    <w:name w:val="annotation text"/>
    <w:basedOn w:val="Normal"/>
    <w:link w:val="CommentTextChar"/>
    <w:unhideWhenUsed/>
    <w:rsid w:val="00890E2B"/>
    <w:pPr>
      <w:spacing w:after="0" w:line="240" w:lineRule="auto"/>
    </w:pPr>
    <w:rPr>
      <w:rFonts w:ascii="Times New Roman" w:eastAsia="Times New Roman" w:hAnsi="Times New Roman"/>
      <w:sz w:val="20"/>
      <w:szCs w:val="20"/>
      <w:lang w:val="en-GB"/>
    </w:rPr>
  </w:style>
  <w:style w:type="character" w:customStyle="1" w:styleId="CommentTextChar">
    <w:name w:val="Comment Text Char"/>
    <w:link w:val="CommentText"/>
    <w:rsid w:val="00890E2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unhideWhenUsed/>
    <w:rsid w:val="00890E2B"/>
    <w:rPr>
      <w:b/>
      <w:bCs/>
    </w:rPr>
  </w:style>
  <w:style w:type="character" w:customStyle="1" w:styleId="CommentSubjectChar">
    <w:name w:val="Comment Subject Char"/>
    <w:link w:val="CommentSubject"/>
    <w:semiHidden/>
    <w:rsid w:val="00890E2B"/>
    <w:rPr>
      <w:rFonts w:ascii="Times New Roman" w:eastAsia="Times New Roman" w:hAnsi="Times New Roman" w:cs="Times New Roman"/>
      <w:b/>
      <w:bCs/>
      <w:sz w:val="20"/>
      <w:szCs w:val="20"/>
      <w:lang w:val="en-GB"/>
    </w:rPr>
  </w:style>
  <w:style w:type="paragraph" w:customStyle="1" w:styleId="doc-ti">
    <w:name w:val="doc-ti"/>
    <w:basedOn w:val="Normal"/>
    <w:rsid w:val="00870931"/>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9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uiPriority w:val="99"/>
    <w:rsid w:val="008E08C4"/>
    <w:pPr>
      <w:autoSpaceDE w:val="0"/>
      <w:autoSpaceDN w:val="0"/>
      <w:adjustRightInd w:val="0"/>
      <w:spacing w:after="0" w:line="240" w:lineRule="auto"/>
    </w:pPr>
    <w:rPr>
      <w:rFonts w:ascii="EUAlbertina" w:eastAsia="Times New Roman" w:hAnsi="EUAlbertina"/>
      <w:sz w:val="24"/>
      <w:szCs w:val="24"/>
    </w:rPr>
  </w:style>
  <w:style w:type="paragraph" w:customStyle="1" w:styleId="Default">
    <w:name w:val="Default"/>
    <w:rsid w:val="008E08C4"/>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ln2capitol">
    <w:name w:val="ln2capitol"/>
    <w:basedOn w:val="DefaultParagraphFont"/>
    <w:rsid w:val="008E08C4"/>
  </w:style>
  <w:style w:type="character" w:customStyle="1" w:styleId="ln2tcapitol">
    <w:name w:val="ln2tcapitol"/>
    <w:basedOn w:val="DefaultParagraphFont"/>
    <w:rsid w:val="008E08C4"/>
  </w:style>
  <w:style w:type="character" w:customStyle="1" w:styleId="apple-converted-space">
    <w:name w:val="apple-converted-space"/>
    <w:basedOn w:val="DefaultParagraphFont"/>
    <w:rsid w:val="008E08C4"/>
  </w:style>
  <w:style w:type="character" w:customStyle="1" w:styleId="ln2articol">
    <w:name w:val="ln2articol"/>
    <w:basedOn w:val="DefaultParagraphFont"/>
    <w:rsid w:val="008E08C4"/>
  </w:style>
  <w:style w:type="character" w:customStyle="1" w:styleId="ln2talineat">
    <w:name w:val="ln2talineat"/>
    <w:basedOn w:val="DefaultParagraphFont"/>
    <w:rsid w:val="008E08C4"/>
  </w:style>
  <w:style w:type="paragraph" w:customStyle="1" w:styleId="CM1">
    <w:name w:val="CM1"/>
    <w:basedOn w:val="Default"/>
    <w:next w:val="Default"/>
    <w:uiPriority w:val="99"/>
    <w:rsid w:val="008E08C4"/>
    <w:rPr>
      <w:color w:val="auto"/>
    </w:rPr>
  </w:style>
  <w:style w:type="paragraph" w:customStyle="1" w:styleId="CM3">
    <w:name w:val="CM3"/>
    <w:basedOn w:val="Default"/>
    <w:next w:val="Default"/>
    <w:uiPriority w:val="99"/>
    <w:rsid w:val="008E08C4"/>
    <w:rPr>
      <w:color w:val="auto"/>
    </w:rPr>
  </w:style>
  <w:style w:type="paragraph" w:customStyle="1" w:styleId="Normal1">
    <w:name w:val="Normal1"/>
    <w:basedOn w:val="Normal"/>
    <w:rsid w:val="008E08C4"/>
    <w:pPr>
      <w:spacing w:before="100" w:beforeAutospacing="1" w:after="100" w:afterAutospacing="1" w:line="240" w:lineRule="auto"/>
    </w:pPr>
    <w:rPr>
      <w:rFonts w:ascii="Times New Roman" w:eastAsia="Times New Roman" w:hAnsi="Times New Roman"/>
      <w:sz w:val="24"/>
      <w:szCs w:val="24"/>
    </w:rPr>
  </w:style>
  <w:style w:type="paragraph" w:customStyle="1" w:styleId="sti-art">
    <w:name w:val="sti-art"/>
    <w:basedOn w:val="Normal"/>
    <w:rsid w:val="008E08C4"/>
    <w:pPr>
      <w:spacing w:before="100" w:beforeAutospacing="1" w:after="100" w:afterAutospacing="1" w:line="240" w:lineRule="auto"/>
    </w:pPr>
    <w:rPr>
      <w:rFonts w:ascii="Times New Roman" w:eastAsia="Times New Roman" w:hAnsi="Times New Roman"/>
      <w:sz w:val="24"/>
      <w:szCs w:val="24"/>
    </w:rPr>
  </w:style>
  <w:style w:type="paragraph" w:customStyle="1" w:styleId="Normal2">
    <w:name w:val="Normal2"/>
    <w:basedOn w:val="Normal"/>
    <w:rsid w:val="008E08C4"/>
    <w:pPr>
      <w:spacing w:before="100" w:beforeAutospacing="1" w:after="100" w:afterAutospacing="1" w:line="240" w:lineRule="auto"/>
    </w:pPr>
    <w:rPr>
      <w:rFonts w:ascii="Times New Roman" w:eastAsia="Times New Roman" w:hAnsi="Times New Roman"/>
      <w:sz w:val="24"/>
      <w:szCs w:val="24"/>
    </w:rPr>
  </w:style>
  <w:style w:type="paragraph" w:customStyle="1" w:styleId="ti-art">
    <w:name w:val="ti-art"/>
    <w:basedOn w:val="Normal"/>
    <w:rsid w:val="008E08C4"/>
    <w:pPr>
      <w:spacing w:before="100" w:beforeAutospacing="1" w:after="100" w:afterAutospacing="1" w:line="240" w:lineRule="auto"/>
    </w:pPr>
    <w:rPr>
      <w:rFonts w:ascii="Times New Roman" w:eastAsia="Times New Roman" w:hAnsi="Times New Roman"/>
      <w:sz w:val="24"/>
      <w:szCs w:val="24"/>
    </w:rPr>
  </w:style>
  <w:style w:type="character" w:customStyle="1" w:styleId="italic">
    <w:name w:val="italic"/>
    <w:basedOn w:val="DefaultParagraphFont"/>
    <w:rsid w:val="008E08C4"/>
  </w:style>
  <w:style w:type="character" w:styleId="Hyperlink">
    <w:name w:val="Hyperlink"/>
    <w:unhideWhenUsed/>
    <w:rsid w:val="008E08C4"/>
    <w:rPr>
      <w:color w:val="0563C1"/>
      <w:u w:val="single"/>
    </w:rPr>
  </w:style>
  <w:style w:type="paragraph" w:customStyle="1" w:styleId="ti-grseq-1">
    <w:name w:val="ti-grseq-1"/>
    <w:basedOn w:val="Normal"/>
    <w:rsid w:val="008E08C4"/>
    <w:pPr>
      <w:spacing w:before="100" w:beforeAutospacing="1" w:after="100" w:afterAutospacing="1" w:line="240" w:lineRule="auto"/>
    </w:pPr>
    <w:rPr>
      <w:rFonts w:ascii="Times New Roman" w:eastAsia="Times New Roman" w:hAnsi="Times New Roman"/>
      <w:sz w:val="24"/>
      <w:szCs w:val="24"/>
    </w:rPr>
  </w:style>
  <w:style w:type="character" w:customStyle="1" w:styleId="bold">
    <w:name w:val="bold"/>
    <w:basedOn w:val="DefaultParagraphFont"/>
    <w:rsid w:val="008E08C4"/>
  </w:style>
  <w:style w:type="paragraph" w:customStyle="1" w:styleId="ti-tbl">
    <w:name w:val="ti-tbl"/>
    <w:basedOn w:val="Normal"/>
    <w:rsid w:val="008E08C4"/>
    <w:pPr>
      <w:spacing w:before="100" w:beforeAutospacing="1" w:after="100" w:afterAutospacing="1" w:line="240" w:lineRule="auto"/>
    </w:pPr>
    <w:rPr>
      <w:rFonts w:ascii="Times New Roman" w:eastAsia="Times New Roman" w:hAnsi="Times New Roman"/>
      <w:sz w:val="24"/>
      <w:szCs w:val="24"/>
    </w:rPr>
  </w:style>
  <w:style w:type="paragraph" w:customStyle="1" w:styleId="tbl-hdr">
    <w:name w:val="tbl-hdr"/>
    <w:basedOn w:val="Normal"/>
    <w:rsid w:val="008E08C4"/>
    <w:pPr>
      <w:spacing w:before="100" w:beforeAutospacing="1" w:after="100" w:afterAutospacing="1" w:line="240" w:lineRule="auto"/>
    </w:pPr>
    <w:rPr>
      <w:rFonts w:ascii="Times New Roman" w:eastAsia="Times New Roman" w:hAnsi="Times New Roman"/>
      <w:sz w:val="24"/>
      <w:szCs w:val="24"/>
    </w:rPr>
  </w:style>
  <w:style w:type="paragraph" w:customStyle="1" w:styleId="Normal3">
    <w:name w:val="Normal3"/>
    <w:basedOn w:val="Normal"/>
    <w:rsid w:val="008E08C4"/>
    <w:pPr>
      <w:spacing w:before="100" w:beforeAutospacing="1" w:after="100" w:afterAutospacing="1" w:line="240" w:lineRule="auto"/>
    </w:pPr>
    <w:rPr>
      <w:rFonts w:ascii="Times New Roman" w:eastAsia="Times New Roman" w:hAnsi="Times New Roman"/>
      <w:sz w:val="24"/>
      <w:szCs w:val="24"/>
    </w:rPr>
  </w:style>
  <w:style w:type="paragraph" w:customStyle="1" w:styleId="tbl-txt">
    <w:name w:val="tbl-txt"/>
    <w:basedOn w:val="Normal"/>
    <w:rsid w:val="008E08C4"/>
    <w:pPr>
      <w:spacing w:before="100" w:beforeAutospacing="1" w:after="100" w:afterAutospacing="1" w:line="240" w:lineRule="auto"/>
    </w:pPr>
    <w:rPr>
      <w:rFonts w:ascii="Times New Roman" w:eastAsia="Times New Roman" w:hAnsi="Times New Roman"/>
      <w:sz w:val="24"/>
      <w:szCs w:val="24"/>
    </w:rPr>
  </w:style>
  <w:style w:type="paragraph" w:customStyle="1" w:styleId="Normal4">
    <w:name w:val="Normal4"/>
    <w:basedOn w:val="Normal"/>
    <w:rsid w:val="008E08C4"/>
    <w:pPr>
      <w:spacing w:before="100" w:beforeAutospacing="1" w:after="100" w:afterAutospacing="1" w:line="240" w:lineRule="auto"/>
    </w:pPr>
    <w:rPr>
      <w:rFonts w:ascii="Times New Roman" w:eastAsia="Times New Roman" w:hAnsi="Times New Roman"/>
      <w:sz w:val="24"/>
      <w:szCs w:val="24"/>
    </w:rPr>
  </w:style>
  <w:style w:type="paragraph" w:customStyle="1" w:styleId="Normal5">
    <w:name w:val="Normal5"/>
    <w:basedOn w:val="Normal"/>
    <w:rsid w:val="008E08C4"/>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7E195C"/>
    <w:pPr>
      <w:spacing w:after="0" w:line="240" w:lineRule="auto"/>
    </w:pPr>
    <w:rPr>
      <w:sz w:val="20"/>
      <w:szCs w:val="20"/>
    </w:rPr>
  </w:style>
  <w:style w:type="character" w:customStyle="1" w:styleId="FootnoteTextChar">
    <w:name w:val="Footnote Text Char"/>
    <w:link w:val="FootnoteText"/>
    <w:uiPriority w:val="99"/>
    <w:semiHidden/>
    <w:rsid w:val="007E195C"/>
    <w:rPr>
      <w:sz w:val="20"/>
      <w:szCs w:val="20"/>
    </w:rPr>
  </w:style>
  <w:style w:type="character" w:styleId="FootnoteReference">
    <w:name w:val="footnote reference"/>
    <w:uiPriority w:val="99"/>
    <w:semiHidden/>
    <w:unhideWhenUsed/>
    <w:rsid w:val="007E195C"/>
    <w:rPr>
      <w:vertAlign w:val="superscript"/>
    </w:rPr>
  </w:style>
  <w:style w:type="paragraph" w:customStyle="1" w:styleId="norm">
    <w:name w:val="norm"/>
    <w:basedOn w:val="Normal"/>
    <w:rsid w:val="006F6E5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68651D"/>
    <w:rPr>
      <w:rFonts w:ascii="Calibri Light" w:eastAsia="Times New Roman" w:hAnsi="Calibri Light"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67">
      <w:bodyDiv w:val="1"/>
      <w:marLeft w:val="0"/>
      <w:marRight w:val="0"/>
      <w:marTop w:val="0"/>
      <w:marBottom w:val="0"/>
      <w:divBdr>
        <w:top w:val="none" w:sz="0" w:space="0" w:color="auto"/>
        <w:left w:val="none" w:sz="0" w:space="0" w:color="auto"/>
        <w:bottom w:val="none" w:sz="0" w:space="0" w:color="auto"/>
        <w:right w:val="none" w:sz="0" w:space="0" w:color="auto"/>
      </w:divBdr>
    </w:div>
    <w:div w:id="105278442">
      <w:bodyDiv w:val="1"/>
      <w:marLeft w:val="0"/>
      <w:marRight w:val="0"/>
      <w:marTop w:val="0"/>
      <w:marBottom w:val="0"/>
      <w:divBdr>
        <w:top w:val="none" w:sz="0" w:space="0" w:color="auto"/>
        <w:left w:val="none" w:sz="0" w:space="0" w:color="auto"/>
        <w:bottom w:val="none" w:sz="0" w:space="0" w:color="auto"/>
        <w:right w:val="none" w:sz="0" w:space="0" w:color="auto"/>
      </w:divBdr>
    </w:div>
    <w:div w:id="366568312">
      <w:bodyDiv w:val="1"/>
      <w:marLeft w:val="0"/>
      <w:marRight w:val="0"/>
      <w:marTop w:val="0"/>
      <w:marBottom w:val="0"/>
      <w:divBdr>
        <w:top w:val="none" w:sz="0" w:space="0" w:color="auto"/>
        <w:left w:val="none" w:sz="0" w:space="0" w:color="auto"/>
        <w:bottom w:val="none" w:sz="0" w:space="0" w:color="auto"/>
        <w:right w:val="none" w:sz="0" w:space="0" w:color="auto"/>
      </w:divBdr>
    </w:div>
    <w:div w:id="509566859">
      <w:bodyDiv w:val="1"/>
      <w:marLeft w:val="0"/>
      <w:marRight w:val="0"/>
      <w:marTop w:val="0"/>
      <w:marBottom w:val="0"/>
      <w:divBdr>
        <w:top w:val="none" w:sz="0" w:space="0" w:color="auto"/>
        <w:left w:val="none" w:sz="0" w:space="0" w:color="auto"/>
        <w:bottom w:val="none" w:sz="0" w:space="0" w:color="auto"/>
        <w:right w:val="none" w:sz="0" w:space="0" w:color="auto"/>
      </w:divBdr>
    </w:div>
    <w:div w:id="701512791">
      <w:bodyDiv w:val="1"/>
      <w:marLeft w:val="0"/>
      <w:marRight w:val="0"/>
      <w:marTop w:val="0"/>
      <w:marBottom w:val="0"/>
      <w:divBdr>
        <w:top w:val="none" w:sz="0" w:space="0" w:color="auto"/>
        <w:left w:val="none" w:sz="0" w:space="0" w:color="auto"/>
        <w:bottom w:val="none" w:sz="0" w:space="0" w:color="auto"/>
        <w:right w:val="none" w:sz="0" w:space="0" w:color="auto"/>
      </w:divBdr>
    </w:div>
    <w:div w:id="817722266">
      <w:bodyDiv w:val="1"/>
      <w:marLeft w:val="0"/>
      <w:marRight w:val="0"/>
      <w:marTop w:val="0"/>
      <w:marBottom w:val="0"/>
      <w:divBdr>
        <w:top w:val="none" w:sz="0" w:space="0" w:color="auto"/>
        <w:left w:val="none" w:sz="0" w:space="0" w:color="auto"/>
        <w:bottom w:val="none" w:sz="0" w:space="0" w:color="auto"/>
        <w:right w:val="none" w:sz="0" w:space="0" w:color="auto"/>
      </w:divBdr>
    </w:div>
    <w:div w:id="895579536">
      <w:bodyDiv w:val="1"/>
      <w:marLeft w:val="0"/>
      <w:marRight w:val="0"/>
      <w:marTop w:val="0"/>
      <w:marBottom w:val="0"/>
      <w:divBdr>
        <w:top w:val="none" w:sz="0" w:space="0" w:color="auto"/>
        <w:left w:val="none" w:sz="0" w:space="0" w:color="auto"/>
        <w:bottom w:val="none" w:sz="0" w:space="0" w:color="auto"/>
        <w:right w:val="none" w:sz="0" w:space="0" w:color="auto"/>
      </w:divBdr>
    </w:div>
    <w:div w:id="913441806">
      <w:bodyDiv w:val="1"/>
      <w:marLeft w:val="0"/>
      <w:marRight w:val="0"/>
      <w:marTop w:val="0"/>
      <w:marBottom w:val="0"/>
      <w:divBdr>
        <w:top w:val="none" w:sz="0" w:space="0" w:color="auto"/>
        <w:left w:val="none" w:sz="0" w:space="0" w:color="auto"/>
        <w:bottom w:val="none" w:sz="0" w:space="0" w:color="auto"/>
        <w:right w:val="none" w:sz="0" w:space="0" w:color="auto"/>
      </w:divBdr>
    </w:div>
    <w:div w:id="1049188191">
      <w:bodyDiv w:val="1"/>
      <w:marLeft w:val="0"/>
      <w:marRight w:val="0"/>
      <w:marTop w:val="0"/>
      <w:marBottom w:val="0"/>
      <w:divBdr>
        <w:top w:val="none" w:sz="0" w:space="0" w:color="auto"/>
        <w:left w:val="none" w:sz="0" w:space="0" w:color="auto"/>
        <w:bottom w:val="none" w:sz="0" w:space="0" w:color="auto"/>
        <w:right w:val="none" w:sz="0" w:space="0" w:color="auto"/>
      </w:divBdr>
    </w:div>
    <w:div w:id="1069112359">
      <w:bodyDiv w:val="1"/>
      <w:marLeft w:val="0"/>
      <w:marRight w:val="0"/>
      <w:marTop w:val="0"/>
      <w:marBottom w:val="0"/>
      <w:divBdr>
        <w:top w:val="none" w:sz="0" w:space="0" w:color="auto"/>
        <w:left w:val="none" w:sz="0" w:space="0" w:color="auto"/>
        <w:bottom w:val="none" w:sz="0" w:space="0" w:color="auto"/>
        <w:right w:val="none" w:sz="0" w:space="0" w:color="auto"/>
      </w:divBdr>
    </w:div>
    <w:div w:id="1418281709">
      <w:bodyDiv w:val="1"/>
      <w:marLeft w:val="0"/>
      <w:marRight w:val="0"/>
      <w:marTop w:val="0"/>
      <w:marBottom w:val="0"/>
      <w:divBdr>
        <w:top w:val="none" w:sz="0" w:space="0" w:color="auto"/>
        <w:left w:val="none" w:sz="0" w:space="0" w:color="auto"/>
        <w:bottom w:val="none" w:sz="0" w:space="0" w:color="auto"/>
        <w:right w:val="none" w:sz="0" w:space="0" w:color="auto"/>
      </w:divBdr>
    </w:div>
    <w:div w:id="1593390227">
      <w:bodyDiv w:val="1"/>
      <w:marLeft w:val="0"/>
      <w:marRight w:val="0"/>
      <w:marTop w:val="0"/>
      <w:marBottom w:val="0"/>
      <w:divBdr>
        <w:top w:val="none" w:sz="0" w:space="0" w:color="auto"/>
        <w:left w:val="none" w:sz="0" w:space="0" w:color="auto"/>
        <w:bottom w:val="none" w:sz="0" w:space="0" w:color="auto"/>
        <w:right w:val="none" w:sz="0" w:space="0" w:color="auto"/>
      </w:divBdr>
    </w:div>
    <w:div w:id="197814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76ce3d57-8dfc-4001-be61-e13a4dcb0a6b</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114FBA19-C63D-49D7-AE57-FDD3D42FF19D}">
  <ds:schemaRefs>
    <ds:schemaRef ds:uri="http://schemas.openxmlformats.org/officeDocument/2006/bibliography"/>
  </ds:schemaRefs>
</ds:datastoreItem>
</file>

<file path=customXml/itemProps2.xml><?xml version="1.0" encoding="utf-8"?>
<ds:datastoreItem xmlns:ds="http://schemas.openxmlformats.org/officeDocument/2006/customXml" ds:itemID="{752E00ED-9576-403D-B4A2-9A5B583FAB8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20043</Words>
  <Characters>116256</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2026-03-06T16:21:00Z</dcterms:created>
  <dcterms:modified xsi:type="dcterms:W3CDTF">2026-03-06T16:21:00Z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76ce3d57-8dfc-4001-be61-e13a4dcb0a6b</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2026-02-09T09:06:50Z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a30a1a70-73ba-44d5-b665-2208eb58bbf7</vt:lpwstr>
  </property>
  <property fmtid="{D5CDD505-2E9C-101B-9397-08002B2CF9AE}" pid="10" name="MSIP_Label_38962dcf-d39f-4edc-a396-338a56ba9170_ContentBits">
    <vt:lpwstr>0</vt:lpwstr>
  </property>
</Properties>
</file>